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2AFF" w:rsidRPr="00937752" w:rsidRDefault="005F67AE" w:rsidP="005F67AE">
      <w:pPr>
        <w:jc w:val="both"/>
        <w:rPr>
          <w:rFonts w:ascii="Arial" w:hAnsi="Arial" w:cs="Arial"/>
          <w:b/>
          <w:lang w:val="es-ES"/>
        </w:rPr>
      </w:pPr>
      <w:r w:rsidRPr="00937752">
        <w:rPr>
          <w:rFonts w:ascii="Arial" w:hAnsi="Arial" w:cs="Arial"/>
          <w:b/>
          <w:lang w:val="es-ES"/>
        </w:rPr>
        <w:t>Asunto:</w:t>
      </w:r>
      <w:r w:rsidR="004B6969" w:rsidRPr="00937752">
        <w:rPr>
          <w:rFonts w:ascii="Arial" w:hAnsi="Arial" w:cs="Arial"/>
          <w:b/>
          <w:lang w:val="es-ES"/>
        </w:rPr>
        <w:t xml:space="preserve"> </w:t>
      </w:r>
      <w:r w:rsidR="00CC507B" w:rsidRPr="00937752">
        <w:rPr>
          <w:rFonts w:ascii="Arial" w:hAnsi="Arial" w:cs="Arial"/>
          <w:b/>
          <w:lang w:val="es-ES"/>
        </w:rPr>
        <w:t>Levantamiento del c</w:t>
      </w:r>
      <w:r w:rsidR="004B6969" w:rsidRPr="00937752">
        <w:rPr>
          <w:rFonts w:ascii="Arial" w:hAnsi="Arial" w:cs="Arial"/>
          <w:b/>
          <w:lang w:val="es-ES"/>
        </w:rPr>
        <w:t>ese en la liquidación del</w:t>
      </w:r>
      <w:r w:rsidRPr="00937752">
        <w:rPr>
          <w:rFonts w:ascii="Arial" w:hAnsi="Arial" w:cs="Arial"/>
          <w:b/>
          <w:lang w:val="es-ES"/>
        </w:rPr>
        <w:t xml:space="preserve"> Impuesto sobre Incremento de Valor de los T</w:t>
      </w:r>
      <w:r w:rsidR="00217BBD" w:rsidRPr="00937752">
        <w:rPr>
          <w:rFonts w:ascii="Arial" w:hAnsi="Arial" w:cs="Arial"/>
          <w:b/>
          <w:lang w:val="es-ES"/>
        </w:rPr>
        <w:t>errenos de Naturaleza  Urbana (</w:t>
      </w:r>
      <w:r w:rsidRPr="00937752">
        <w:rPr>
          <w:rFonts w:ascii="Arial" w:hAnsi="Arial" w:cs="Arial"/>
          <w:b/>
          <w:lang w:val="es-ES"/>
        </w:rPr>
        <w:t>IIVTNU)</w:t>
      </w:r>
      <w:r w:rsidR="004B6969" w:rsidRPr="00937752">
        <w:rPr>
          <w:rFonts w:ascii="Arial" w:hAnsi="Arial" w:cs="Arial"/>
          <w:b/>
          <w:lang w:val="es-ES"/>
        </w:rPr>
        <w:t xml:space="preserve"> </w:t>
      </w:r>
    </w:p>
    <w:p w:rsidR="00544FE6" w:rsidRPr="00937752" w:rsidRDefault="00544FE6" w:rsidP="005F67AE">
      <w:pPr>
        <w:jc w:val="both"/>
        <w:rPr>
          <w:rFonts w:ascii="Arial" w:hAnsi="Arial" w:cs="Arial"/>
          <w:lang w:val="es-ES"/>
        </w:rPr>
      </w:pPr>
    </w:p>
    <w:p w:rsidR="0000118C" w:rsidRPr="00937752" w:rsidRDefault="00544FE6" w:rsidP="005F67AE">
      <w:pPr>
        <w:jc w:val="both"/>
        <w:rPr>
          <w:rFonts w:ascii="Arial" w:hAnsi="Arial" w:cs="Arial"/>
          <w:color w:val="333333"/>
          <w:lang w:val="es-ES"/>
        </w:rPr>
      </w:pPr>
      <w:r w:rsidRPr="00937752">
        <w:rPr>
          <w:rFonts w:ascii="Arial" w:hAnsi="Arial" w:cs="Arial"/>
          <w:b/>
          <w:lang w:val="es-ES"/>
        </w:rPr>
        <w:t>Resumen:</w:t>
      </w:r>
      <w:r w:rsidRPr="00937752">
        <w:rPr>
          <w:rFonts w:ascii="Arial" w:hAnsi="Arial" w:cs="Arial"/>
          <w:lang w:val="es-ES"/>
        </w:rPr>
        <w:t xml:space="preserve"> Como consecuencia de la sentencia del Tribunal Constitucional </w:t>
      </w:r>
      <w:r w:rsidR="00F15CFC" w:rsidRPr="00937752">
        <w:rPr>
          <w:rFonts w:ascii="Arial" w:eastAsia="Times New Roman" w:hAnsi="Arial" w:cs="Arial"/>
          <w:iCs/>
          <w:color w:val="424242"/>
          <w:lang w:val="es-ES" w:eastAsia="es-ES_tradnl"/>
        </w:rPr>
        <w:t>59/2017</w:t>
      </w:r>
      <w:r w:rsidRPr="00937752">
        <w:rPr>
          <w:rFonts w:ascii="Arial" w:eastAsia="Times New Roman" w:hAnsi="Arial" w:cs="Arial"/>
          <w:iCs/>
          <w:color w:val="424242"/>
          <w:lang w:val="es-ES" w:eastAsia="es-ES_tradnl"/>
        </w:rPr>
        <w:t xml:space="preserve">, de 11 de mayo de 2017, </w:t>
      </w:r>
      <w:r w:rsidRPr="00937752">
        <w:rPr>
          <w:rFonts w:ascii="Arial" w:hAnsi="Arial" w:cs="Arial"/>
          <w:lang w:val="es-ES"/>
        </w:rPr>
        <w:t>y las</w:t>
      </w:r>
      <w:r w:rsidR="0000118C" w:rsidRPr="00937752">
        <w:rPr>
          <w:rFonts w:ascii="Arial" w:hAnsi="Arial" w:cs="Arial"/>
          <w:lang w:val="es-ES"/>
        </w:rPr>
        <w:t xml:space="preserve"> posterior</w:t>
      </w:r>
      <w:r w:rsidRPr="00937752">
        <w:rPr>
          <w:rFonts w:ascii="Arial" w:hAnsi="Arial" w:cs="Arial"/>
          <w:lang w:val="es-ES"/>
        </w:rPr>
        <w:t xml:space="preserve"> interpretación real</w:t>
      </w:r>
      <w:r w:rsidR="0000118C" w:rsidRPr="00937752">
        <w:rPr>
          <w:rFonts w:ascii="Arial" w:hAnsi="Arial" w:cs="Arial"/>
          <w:lang w:val="es-ES"/>
        </w:rPr>
        <w:t>i</w:t>
      </w:r>
      <w:r w:rsidRPr="00937752">
        <w:rPr>
          <w:rFonts w:ascii="Arial" w:hAnsi="Arial" w:cs="Arial"/>
          <w:lang w:val="es-ES"/>
        </w:rPr>
        <w:t xml:space="preserve">zada por diversos Tribunales Superiores de Justicia del orden contencioso-administrativo de considerar este impuesto expulsado del ordenamiento jurídico, la Diputación Provincial de Burgos había decidido no liquidar el IIVTNU hasta que se dictase una nueva regulación legal, sin embargo, tras </w:t>
      </w:r>
      <w:r w:rsidR="0000118C" w:rsidRPr="00937752">
        <w:rPr>
          <w:rFonts w:ascii="Arial" w:hAnsi="Arial" w:cs="Arial"/>
          <w:lang w:val="es-ES"/>
        </w:rPr>
        <w:t xml:space="preserve">la Sentencia de la  Sala Tercera del Tribunal Supremo, de  9 de julio de 2018, que considera que los preceptos declarados inconstitucionales por la STC continúan  vigentes en aquellos supuestos en los que se aprecia la existencia de una plusvalía, opta por </w:t>
      </w:r>
      <w:r w:rsidR="0000118C" w:rsidRPr="00937752">
        <w:rPr>
          <w:rFonts w:ascii="Arial" w:hAnsi="Arial" w:cs="Arial"/>
          <w:color w:val="333333"/>
          <w:lang w:val="es-ES"/>
        </w:rPr>
        <w:t>corregir la decisión adoptada y proceder a   liquidar de nuevo  el IIVTNU.</w:t>
      </w:r>
    </w:p>
    <w:p w:rsidR="0000118C" w:rsidRPr="00937752" w:rsidRDefault="0000118C" w:rsidP="003B4D56">
      <w:pPr>
        <w:jc w:val="both"/>
        <w:rPr>
          <w:rFonts w:ascii="Arial" w:hAnsi="Arial" w:cs="Arial"/>
          <w:lang w:val="es-ES"/>
        </w:rPr>
      </w:pPr>
    </w:p>
    <w:p w:rsidR="008B5DEE" w:rsidRPr="00937752" w:rsidRDefault="00ED2069" w:rsidP="003B4D56">
      <w:pPr>
        <w:jc w:val="both"/>
        <w:rPr>
          <w:rFonts w:ascii="Arial" w:hAnsi="Arial" w:cs="Arial"/>
          <w:lang w:val="es-ES"/>
        </w:rPr>
      </w:pPr>
      <w:r w:rsidRPr="00937752">
        <w:rPr>
          <w:rFonts w:ascii="Arial" w:hAnsi="Arial" w:cs="Arial"/>
          <w:lang w:val="es-ES"/>
        </w:rPr>
        <w:t>Este informe pretende relatar la evolución de la actuación de la Diputación Provincial de Burgos respecto a la gestión del Impuesto sobre Incremento de Valor de los Terrenos de Naturaleza  Urbana (IIVTNU),  siguiendo para ello el siguiente orden:</w:t>
      </w:r>
    </w:p>
    <w:p w:rsidR="00ED2069" w:rsidRPr="00937752" w:rsidRDefault="00544FE6" w:rsidP="00ED2069">
      <w:pPr>
        <w:pStyle w:val="Prrafodelista"/>
        <w:numPr>
          <w:ilvl w:val="0"/>
          <w:numId w:val="5"/>
        </w:numPr>
        <w:jc w:val="both"/>
        <w:rPr>
          <w:rFonts w:ascii="Arial" w:hAnsi="Arial" w:cs="Arial"/>
          <w:lang w:val="es-ES"/>
        </w:rPr>
      </w:pPr>
      <w:r w:rsidRPr="00937752">
        <w:rPr>
          <w:rFonts w:ascii="Arial" w:hAnsi="Arial" w:cs="Arial"/>
          <w:lang w:val="es-ES"/>
        </w:rPr>
        <w:t xml:space="preserve">Principio: Sentencia Tribunal Constitucional </w:t>
      </w:r>
      <w:r w:rsidR="0000118C" w:rsidRPr="00937752">
        <w:rPr>
          <w:rFonts w:ascii="Arial" w:eastAsia="Times New Roman" w:hAnsi="Arial" w:cs="Arial"/>
          <w:iCs/>
          <w:color w:val="424242"/>
          <w:lang w:val="es-ES" w:eastAsia="es-ES_tradnl"/>
        </w:rPr>
        <w:t xml:space="preserve">59/2017, de 11 de mayo de 2017 </w:t>
      </w:r>
      <w:r w:rsidRPr="00937752">
        <w:rPr>
          <w:rFonts w:ascii="Arial" w:hAnsi="Arial" w:cs="Arial"/>
          <w:lang w:val="es-ES"/>
        </w:rPr>
        <w:t>y su interpretación por la jurisdicción contencioso- administrativa.</w:t>
      </w:r>
    </w:p>
    <w:p w:rsidR="00544FE6" w:rsidRPr="00937752" w:rsidRDefault="00544FE6" w:rsidP="00ED2069">
      <w:pPr>
        <w:pStyle w:val="Prrafodelista"/>
        <w:numPr>
          <w:ilvl w:val="0"/>
          <w:numId w:val="5"/>
        </w:numPr>
        <w:jc w:val="both"/>
        <w:rPr>
          <w:rFonts w:ascii="Arial" w:hAnsi="Arial" w:cs="Arial"/>
          <w:lang w:val="es-ES"/>
        </w:rPr>
      </w:pPr>
      <w:r w:rsidRPr="00937752">
        <w:rPr>
          <w:rFonts w:ascii="Arial" w:hAnsi="Arial" w:cs="Arial"/>
          <w:lang w:val="es-ES"/>
        </w:rPr>
        <w:t>Decisión</w:t>
      </w:r>
      <w:r w:rsidR="0000118C" w:rsidRPr="00937752">
        <w:rPr>
          <w:rFonts w:ascii="Arial" w:hAnsi="Arial" w:cs="Arial"/>
          <w:lang w:val="es-ES"/>
        </w:rPr>
        <w:t xml:space="preserve"> adoptada por</w:t>
      </w:r>
      <w:r w:rsidRPr="00937752">
        <w:rPr>
          <w:rFonts w:ascii="Arial" w:hAnsi="Arial" w:cs="Arial"/>
          <w:lang w:val="es-ES"/>
        </w:rPr>
        <w:t xml:space="preserve"> la </w:t>
      </w:r>
      <w:r w:rsidR="00C21C32" w:rsidRPr="00937752">
        <w:rPr>
          <w:rFonts w:ascii="Arial" w:hAnsi="Arial" w:cs="Arial"/>
          <w:lang w:val="es-ES"/>
        </w:rPr>
        <w:t>Diputación Provincial de Burgos en octubre de 2017.</w:t>
      </w:r>
    </w:p>
    <w:p w:rsidR="00C21C32" w:rsidRPr="00937752" w:rsidRDefault="00C21C32" w:rsidP="00C21C32">
      <w:pPr>
        <w:pStyle w:val="Prrafodelista"/>
        <w:numPr>
          <w:ilvl w:val="0"/>
          <w:numId w:val="5"/>
        </w:numPr>
        <w:jc w:val="both"/>
        <w:rPr>
          <w:rFonts w:ascii="Arial" w:hAnsi="Arial" w:cs="Arial"/>
        </w:rPr>
      </w:pPr>
      <w:r w:rsidRPr="00937752">
        <w:rPr>
          <w:rFonts w:ascii="Arial" w:hAnsi="Arial" w:cs="Arial"/>
        </w:rPr>
        <w:t xml:space="preserve">Sentencia del Tribunal Supremo 1163/2018, de </w:t>
      </w:r>
      <w:r w:rsidRPr="00937752">
        <w:rPr>
          <w:rFonts w:ascii="Arial" w:hAnsi="Arial" w:cs="Arial"/>
          <w:lang w:val="es-ES"/>
        </w:rPr>
        <w:t xml:space="preserve"> 9 de julio de 2018.</w:t>
      </w:r>
    </w:p>
    <w:p w:rsidR="00F15CFC" w:rsidRPr="00937752" w:rsidRDefault="00F15CFC" w:rsidP="00F15CFC">
      <w:pPr>
        <w:pStyle w:val="Prrafodelista"/>
        <w:numPr>
          <w:ilvl w:val="0"/>
          <w:numId w:val="5"/>
        </w:numPr>
        <w:jc w:val="both"/>
        <w:rPr>
          <w:rFonts w:ascii="Arial" w:hAnsi="Arial" w:cs="Arial"/>
          <w:lang w:val="es-ES"/>
        </w:rPr>
      </w:pPr>
      <w:r w:rsidRPr="00937752">
        <w:rPr>
          <w:rFonts w:ascii="Arial" w:hAnsi="Arial" w:cs="Arial"/>
          <w:color w:val="333333"/>
          <w:lang w:val="es-ES"/>
        </w:rPr>
        <w:t>Reacción de la Diputación Provincial de Burgos a la STS.</w:t>
      </w:r>
    </w:p>
    <w:p w:rsidR="00544FE6" w:rsidRPr="00937752" w:rsidRDefault="00544FE6" w:rsidP="0000118C">
      <w:pPr>
        <w:pStyle w:val="Prrafodelista"/>
        <w:ind w:left="1065"/>
        <w:jc w:val="both"/>
        <w:rPr>
          <w:rFonts w:ascii="Arial" w:hAnsi="Arial" w:cs="Arial"/>
          <w:lang w:val="es-ES"/>
        </w:rPr>
      </w:pPr>
    </w:p>
    <w:p w:rsidR="00ED2069" w:rsidRPr="00937752" w:rsidRDefault="00ED2069" w:rsidP="0014611A">
      <w:pPr>
        <w:pStyle w:val="Prrafodelista"/>
        <w:ind w:left="1065"/>
        <w:jc w:val="both"/>
        <w:rPr>
          <w:rFonts w:ascii="Arial" w:hAnsi="Arial" w:cs="Arial"/>
          <w:lang w:val="es-ES"/>
        </w:rPr>
      </w:pPr>
    </w:p>
    <w:p w:rsidR="00544FE6" w:rsidRPr="00937752" w:rsidRDefault="00544FE6" w:rsidP="00CC507B">
      <w:pPr>
        <w:jc w:val="both"/>
        <w:rPr>
          <w:rFonts w:ascii="Arial" w:hAnsi="Arial" w:cs="Arial"/>
          <w:b/>
          <w:lang w:val="es-ES"/>
        </w:rPr>
      </w:pPr>
      <w:r w:rsidRPr="00937752">
        <w:rPr>
          <w:rFonts w:ascii="Arial" w:hAnsi="Arial" w:cs="Arial"/>
          <w:b/>
          <w:lang w:val="es-ES"/>
        </w:rPr>
        <w:t>Principio: Sentencia Tribunal Constitucional y su interpretación por la jurisdicción contencioso- administrativa</w:t>
      </w:r>
    </w:p>
    <w:p w:rsidR="005075F3" w:rsidRPr="00937752" w:rsidRDefault="00CC507B" w:rsidP="00CC507B">
      <w:pPr>
        <w:jc w:val="both"/>
        <w:rPr>
          <w:rFonts w:ascii="Arial" w:hAnsi="Arial" w:cs="Arial"/>
          <w:lang w:val="es-ES"/>
        </w:rPr>
      </w:pPr>
      <w:r w:rsidRPr="00937752">
        <w:rPr>
          <w:rFonts w:ascii="Arial" w:hAnsi="Arial" w:cs="Arial"/>
          <w:lang w:val="es-ES"/>
        </w:rPr>
        <w:tab/>
        <w:t xml:space="preserve">A raíz de la sentencia del </w:t>
      </w:r>
      <w:r w:rsidR="00EB7A0D" w:rsidRPr="00937752">
        <w:rPr>
          <w:rFonts w:ascii="Arial" w:hAnsi="Arial" w:cs="Arial"/>
          <w:lang w:val="es-ES"/>
        </w:rPr>
        <w:t>Tribunal Constitucional</w:t>
      </w:r>
      <w:r w:rsidRPr="00937752">
        <w:rPr>
          <w:rFonts w:ascii="Arial" w:hAnsi="Arial" w:cs="Arial"/>
          <w:lang w:val="es-ES"/>
        </w:rPr>
        <w:t xml:space="preserve">  </w:t>
      </w:r>
      <w:r w:rsidR="00DA7981" w:rsidRPr="00937752">
        <w:rPr>
          <w:rFonts w:ascii="Arial" w:eastAsia="Times New Roman" w:hAnsi="Arial" w:cs="Arial"/>
          <w:iCs/>
          <w:color w:val="424242"/>
          <w:lang w:val="es-ES" w:eastAsia="es-ES_tradnl"/>
        </w:rPr>
        <w:t>59/2017,</w:t>
      </w:r>
      <w:r w:rsidR="00C9694C" w:rsidRPr="00937752">
        <w:rPr>
          <w:rFonts w:ascii="Arial" w:eastAsia="Times New Roman" w:hAnsi="Arial" w:cs="Arial"/>
          <w:iCs/>
          <w:color w:val="424242"/>
          <w:lang w:val="es-ES" w:eastAsia="es-ES_tradnl"/>
        </w:rPr>
        <w:t xml:space="preserve"> </w:t>
      </w:r>
      <w:r w:rsidR="00DA7981" w:rsidRPr="00937752">
        <w:rPr>
          <w:rFonts w:ascii="Arial" w:eastAsia="Times New Roman" w:hAnsi="Arial" w:cs="Arial"/>
          <w:iCs/>
          <w:color w:val="424242"/>
          <w:lang w:val="es-ES" w:eastAsia="es-ES_tradnl"/>
        </w:rPr>
        <w:t>de 11 de mayo de 2017,</w:t>
      </w:r>
      <w:r w:rsidR="00113D50" w:rsidRPr="00937752">
        <w:rPr>
          <w:rFonts w:ascii="Arial" w:eastAsia="Times New Roman" w:hAnsi="Arial" w:cs="Arial"/>
          <w:iCs/>
          <w:color w:val="424242"/>
          <w:lang w:val="es-ES" w:eastAsia="es-ES_tradnl"/>
        </w:rPr>
        <w:t xml:space="preserve"> publicada en el BOE número 142 el 15 de junio de 2017</w:t>
      </w:r>
      <w:r w:rsidR="009C1A0D" w:rsidRPr="00937752">
        <w:rPr>
          <w:rFonts w:ascii="Arial" w:eastAsia="Times New Roman" w:hAnsi="Arial" w:cs="Arial"/>
          <w:iCs/>
          <w:color w:val="424242"/>
          <w:lang w:val="es-ES" w:eastAsia="es-ES_tradnl"/>
        </w:rPr>
        <w:t xml:space="preserve">, </w:t>
      </w:r>
      <w:r w:rsidRPr="00937752">
        <w:rPr>
          <w:rFonts w:ascii="Arial" w:eastAsia="Times New Roman" w:hAnsi="Arial" w:cs="Arial"/>
          <w:iCs/>
          <w:color w:val="424242"/>
          <w:lang w:val="es-ES" w:eastAsia="es-ES_tradnl"/>
        </w:rPr>
        <w:t xml:space="preserve"> por la que se declara</w:t>
      </w:r>
      <w:r w:rsidR="00F1164F" w:rsidRPr="00937752">
        <w:rPr>
          <w:rFonts w:ascii="Arial" w:eastAsia="Times New Roman" w:hAnsi="Arial" w:cs="Arial"/>
          <w:iCs/>
          <w:color w:val="424242"/>
          <w:lang w:val="es-ES" w:eastAsia="es-ES_tradnl"/>
        </w:rPr>
        <w:t xml:space="preserve"> </w:t>
      </w:r>
      <w:r w:rsidR="003802B0" w:rsidRPr="00937752">
        <w:rPr>
          <w:rFonts w:ascii="Arial" w:eastAsia="Times New Roman" w:hAnsi="Arial" w:cs="Arial"/>
          <w:iCs/>
          <w:color w:val="424242"/>
          <w:lang w:val="es-ES" w:eastAsia="es-ES_tradnl"/>
        </w:rPr>
        <w:t>inconstitucionales y nulos</w:t>
      </w:r>
      <w:r w:rsidR="00F1164F" w:rsidRPr="00937752">
        <w:rPr>
          <w:rFonts w:ascii="Arial" w:eastAsia="Times New Roman" w:hAnsi="Arial" w:cs="Arial"/>
          <w:iCs/>
          <w:color w:val="424242"/>
          <w:lang w:val="es-ES" w:eastAsia="es-ES_tradnl"/>
        </w:rPr>
        <w:t xml:space="preserve"> los artículos 107.1, 107.2.a) y 110.4, del</w:t>
      </w:r>
      <w:r w:rsidR="00113D50" w:rsidRPr="00937752">
        <w:rPr>
          <w:rFonts w:ascii="Arial" w:eastAsia="Times New Roman" w:hAnsi="Arial" w:cs="Arial"/>
          <w:iCs/>
          <w:color w:val="424242"/>
          <w:lang w:val="es-ES" w:eastAsia="es-ES_tradnl"/>
        </w:rPr>
        <w:t xml:space="preserve"> </w:t>
      </w:r>
      <w:r w:rsidR="00113D50" w:rsidRPr="00937752">
        <w:rPr>
          <w:rFonts w:ascii="Arial" w:hAnsi="Arial" w:cs="Arial"/>
          <w:lang w:val="es-ES"/>
        </w:rPr>
        <w:t>Real Decreto Legislativo 2/2004, de 5 de marzo, por el que se aprueba</w:t>
      </w:r>
      <w:r w:rsidR="00F1164F" w:rsidRPr="00937752">
        <w:rPr>
          <w:rFonts w:ascii="Arial" w:eastAsia="Times New Roman" w:hAnsi="Arial" w:cs="Arial"/>
          <w:iCs/>
          <w:color w:val="424242"/>
          <w:lang w:val="es-ES" w:eastAsia="es-ES_tradnl"/>
        </w:rPr>
        <w:t xml:space="preserve"> </w:t>
      </w:r>
      <w:r w:rsidR="00113D50" w:rsidRPr="00937752">
        <w:rPr>
          <w:rFonts w:ascii="Arial" w:eastAsia="Times New Roman" w:hAnsi="Arial" w:cs="Arial"/>
          <w:iCs/>
          <w:color w:val="424242"/>
          <w:lang w:val="es-ES" w:eastAsia="es-ES_tradnl"/>
        </w:rPr>
        <w:t xml:space="preserve"> el </w:t>
      </w:r>
      <w:r w:rsidR="00F1164F" w:rsidRPr="00937752">
        <w:rPr>
          <w:rFonts w:ascii="Arial" w:eastAsia="Times New Roman" w:hAnsi="Arial" w:cs="Arial"/>
          <w:iCs/>
          <w:color w:val="424242"/>
          <w:lang w:val="es-ES" w:eastAsia="es-ES_tradnl"/>
        </w:rPr>
        <w:t>Texto Refundido de la Ley Reguladora de las Haciendas Locales</w:t>
      </w:r>
      <w:r w:rsidR="00AA03EB" w:rsidRPr="00937752">
        <w:rPr>
          <w:rFonts w:ascii="Arial" w:eastAsia="Times New Roman" w:hAnsi="Arial" w:cs="Arial"/>
          <w:iCs/>
          <w:color w:val="424242"/>
          <w:lang w:val="es-ES" w:eastAsia="es-ES_tradnl"/>
        </w:rPr>
        <w:t xml:space="preserve"> (</w:t>
      </w:r>
      <w:r w:rsidR="00C9694C" w:rsidRPr="00937752">
        <w:rPr>
          <w:rFonts w:ascii="Arial" w:eastAsia="Times New Roman" w:hAnsi="Arial" w:cs="Arial"/>
          <w:iCs/>
          <w:color w:val="424242"/>
          <w:lang w:val="es-ES" w:eastAsia="es-ES_tradnl"/>
        </w:rPr>
        <w:t>TRLRHL)</w:t>
      </w:r>
      <w:r w:rsidRPr="00937752">
        <w:rPr>
          <w:rFonts w:ascii="Arial" w:eastAsia="Times New Roman" w:hAnsi="Arial" w:cs="Arial"/>
          <w:iCs/>
          <w:color w:val="424242"/>
          <w:lang w:val="es-ES" w:eastAsia="es-ES_tradnl"/>
        </w:rPr>
        <w:t>, se produjeron</w:t>
      </w:r>
      <w:r w:rsidR="001F1018" w:rsidRPr="00937752">
        <w:rPr>
          <w:rFonts w:ascii="Arial" w:hAnsi="Arial" w:cs="Arial"/>
          <w:lang w:val="es-ES"/>
        </w:rPr>
        <w:t xml:space="preserve"> dos interpretaciones</w:t>
      </w:r>
      <w:r w:rsidR="008B5DEE" w:rsidRPr="00937752">
        <w:rPr>
          <w:rFonts w:ascii="Arial" w:hAnsi="Arial" w:cs="Arial"/>
          <w:lang w:val="es-ES"/>
        </w:rPr>
        <w:t xml:space="preserve"> judiciales</w:t>
      </w:r>
      <w:r w:rsidR="006A1946" w:rsidRPr="00937752">
        <w:rPr>
          <w:rFonts w:ascii="Arial" w:hAnsi="Arial" w:cs="Arial"/>
          <w:lang w:val="es-ES"/>
        </w:rPr>
        <w:t xml:space="preserve"> c</w:t>
      </w:r>
      <w:r w:rsidR="003B4D56" w:rsidRPr="00937752">
        <w:rPr>
          <w:rFonts w:ascii="Arial" w:hAnsi="Arial" w:cs="Arial"/>
          <w:lang w:val="es-ES"/>
        </w:rPr>
        <w:t xml:space="preserve">ontrapuestas  </w:t>
      </w:r>
      <w:r w:rsidR="001F1018" w:rsidRPr="00937752">
        <w:rPr>
          <w:rFonts w:ascii="Arial" w:hAnsi="Arial" w:cs="Arial"/>
          <w:lang w:val="es-ES"/>
        </w:rPr>
        <w:t>respecto a</w:t>
      </w:r>
      <w:r w:rsidR="003B4D56" w:rsidRPr="00937752">
        <w:rPr>
          <w:rFonts w:ascii="Arial" w:hAnsi="Arial" w:cs="Arial"/>
          <w:lang w:val="es-ES"/>
        </w:rPr>
        <w:t xml:space="preserve"> los efectos de</w:t>
      </w:r>
      <w:r w:rsidR="005F67AE" w:rsidRPr="00937752">
        <w:rPr>
          <w:rFonts w:ascii="Arial" w:hAnsi="Arial" w:cs="Arial"/>
          <w:lang w:val="es-ES"/>
        </w:rPr>
        <w:t xml:space="preserve"> esta declaración de in</w:t>
      </w:r>
      <w:r w:rsidR="00B97DC4" w:rsidRPr="00937752">
        <w:rPr>
          <w:rFonts w:ascii="Arial" w:hAnsi="Arial" w:cs="Arial"/>
          <w:lang w:val="es-ES"/>
        </w:rPr>
        <w:t>c</w:t>
      </w:r>
      <w:r w:rsidR="00C9694C" w:rsidRPr="00937752">
        <w:rPr>
          <w:rFonts w:ascii="Arial" w:hAnsi="Arial" w:cs="Arial"/>
          <w:lang w:val="es-ES"/>
        </w:rPr>
        <w:t>onstitucionalidad</w:t>
      </w:r>
      <w:r w:rsidR="005545B7" w:rsidRPr="00937752">
        <w:rPr>
          <w:rFonts w:ascii="Arial" w:hAnsi="Arial" w:cs="Arial"/>
          <w:lang w:val="es-ES"/>
        </w:rPr>
        <w:t xml:space="preserve"> (se cita  un ejemplo de cada una de ellas</w:t>
      </w:r>
      <w:r w:rsidR="0050228B" w:rsidRPr="00937752">
        <w:rPr>
          <w:rFonts w:ascii="Arial" w:hAnsi="Arial" w:cs="Arial"/>
          <w:lang w:val="es-ES"/>
        </w:rPr>
        <w:t>)</w:t>
      </w:r>
      <w:r w:rsidR="00B97DC4" w:rsidRPr="00937752">
        <w:rPr>
          <w:rFonts w:ascii="Arial" w:hAnsi="Arial" w:cs="Arial"/>
          <w:lang w:val="es-ES"/>
        </w:rPr>
        <w:t>:</w:t>
      </w:r>
    </w:p>
    <w:p w:rsidR="001F1018" w:rsidRPr="00937752" w:rsidRDefault="001F1018" w:rsidP="00276EC0">
      <w:pPr>
        <w:pStyle w:val="Prrafodelista"/>
        <w:numPr>
          <w:ilvl w:val="0"/>
          <w:numId w:val="3"/>
        </w:numPr>
        <w:ind w:left="567"/>
        <w:jc w:val="both"/>
        <w:rPr>
          <w:rFonts w:ascii="Arial" w:hAnsi="Arial" w:cs="Arial"/>
          <w:lang w:val="es-ES"/>
        </w:rPr>
      </w:pPr>
      <w:r w:rsidRPr="00937752">
        <w:rPr>
          <w:rFonts w:ascii="Arial" w:hAnsi="Arial" w:cs="Arial"/>
          <w:lang w:val="es-ES"/>
        </w:rPr>
        <w:lastRenderedPageBreak/>
        <w:t xml:space="preserve"> </w:t>
      </w:r>
      <w:r w:rsidR="00113D50" w:rsidRPr="00937752">
        <w:rPr>
          <w:rFonts w:ascii="Arial" w:hAnsi="Arial" w:cs="Arial"/>
          <w:lang w:val="es-ES"/>
        </w:rPr>
        <w:t>1ª. E</w:t>
      </w:r>
      <w:r w:rsidR="006156A8" w:rsidRPr="00937752">
        <w:rPr>
          <w:rFonts w:ascii="Arial" w:hAnsi="Arial" w:cs="Arial"/>
          <w:lang w:val="es-ES"/>
        </w:rPr>
        <w:t xml:space="preserve">ntiende que se mantiene la posibilidad de liquidar el impuesto, </w:t>
      </w:r>
      <w:r w:rsidR="00B97DC4" w:rsidRPr="00937752">
        <w:rPr>
          <w:rFonts w:ascii="Arial" w:hAnsi="Arial" w:cs="Arial"/>
          <w:lang w:val="es-ES"/>
        </w:rPr>
        <w:t xml:space="preserve"> ya q</w:t>
      </w:r>
      <w:r w:rsidRPr="00937752">
        <w:rPr>
          <w:rFonts w:ascii="Arial" w:hAnsi="Arial" w:cs="Arial"/>
          <w:lang w:val="es-ES"/>
        </w:rPr>
        <w:t xml:space="preserve">ue </w:t>
      </w:r>
      <w:r w:rsidR="006156A8" w:rsidRPr="00937752">
        <w:rPr>
          <w:rFonts w:ascii="Arial" w:hAnsi="Arial" w:cs="Arial"/>
          <w:lang w:val="es-ES"/>
        </w:rPr>
        <w:t>la inconstitucionalidad afecta</w:t>
      </w:r>
      <w:r w:rsidRPr="00937752">
        <w:rPr>
          <w:rFonts w:ascii="Arial" w:hAnsi="Arial" w:cs="Arial"/>
          <w:lang w:val="es-ES"/>
        </w:rPr>
        <w:t xml:space="preserve"> únicamente a aquellos supuesto</w:t>
      </w:r>
      <w:r w:rsidR="006156A8" w:rsidRPr="00937752">
        <w:rPr>
          <w:rFonts w:ascii="Arial" w:hAnsi="Arial" w:cs="Arial"/>
          <w:lang w:val="es-ES"/>
        </w:rPr>
        <w:t>s en que se someten</w:t>
      </w:r>
      <w:r w:rsidRPr="00937752">
        <w:rPr>
          <w:rFonts w:ascii="Arial" w:hAnsi="Arial" w:cs="Arial"/>
          <w:lang w:val="es-ES"/>
        </w:rPr>
        <w:t xml:space="preserve"> a tributación situaciones de inexistencia de incrementos de valor</w:t>
      </w:r>
      <w:r w:rsidR="0050228B" w:rsidRPr="00937752">
        <w:rPr>
          <w:rFonts w:ascii="Arial" w:hAnsi="Arial" w:cs="Arial"/>
          <w:lang w:val="es-ES"/>
        </w:rPr>
        <w:t xml:space="preserve"> (Sentencia de la Sala Contencioso- Administrativo del Tribunal Superior de Justicia la Comunidad Valenciana, de fecha 6 de julio de 2017)</w:t>
      </w:r>
      <w:r w:rsidRPr="00937752">
        <w:rPr>
          <w:rFonts w:ascii="Arial" w:hAnsi="Arial" w:cs="Arial"/>
          <w:lang w:val="es-ES"/>
        </w:rPr>
        <w:t>.</w:t>
      </w:r>
    </w:p>
    <w:p w:rsidR="005F67AE" w:rsidRPr="00937752" w:rsidRDefault="005F67AE" w:rsidP="005F67AE">
      <w:pPr>
        <w:pStyle w:val="Prrafodelista"/>
        <w:ind w:left="567"/>
        <w:jc w:val="both"/>
        <w:rPr>
          <w:rFonts w:ascii="Arial" w:hAnsi="Arial" w:cs="Arial"/>
          <w:lang w:val="es-ES"/>
        </w:rPr>
      </w:pPr>
    </w:p>
    <w:p w:rsidR="00CC507B" w:rsidRPr="00937752" w:rsidRDefault="00113D50" w:rsidP="00CC507B">
      <w:pPr>
        <w:pStyle w:val="Prrafodelista"/>
        <w:numPr>
          <w:ilvl w:val="0"/>
          <w:numId w:val="3"/>
        </w:numPr>
        <w:ind w:left="567"/>
        <w:jc w:val="both"/>
        <w:rPr>
          <w:rFonts w:ascii="Arial" w:hAnsi="Arial" w:cs="Arial"/>
          <w:lang w:val="es-ES"/>
        </w:rPr>
      </w:pPr>
      <w:r w:rsidRPr="00937752">
        <w:rPr>
          <w:rFonts w:ascii="Arial" w:hAnsi="Arial" w:cs="Arial"/>
          <w:lang w:val="es-ES"/>
        </w:rPr>
        <w:t>2ª. A</w:t>
      </w:r>
      <w:r w:rsidR="006156A8" w:rsidRPr="00937752">
        <w:rPr>
          <w:rFonts w:ascii="Arial" w:hAnsi="Arial" w:cs="Arial"/>
          <w:lang w:val="es-ES"/>
        </w:rPr>
        <w:t>rgumenta la i</w:t>
      </w:r>
      <w:r w:rsidRPr="00937752">
        <w:rPr>
          <w:rFonts w:ascii="Arial" w:hAnsi="Arial" w:cs="Arial"/>
          <w:lang w:val="es-ES"/>
        </w:rPr>
        <w:t>mposibilidad de liquidar,</w:t>
      </w:r>
      <w:r w:rsidR="00B97DC4" w:rsidRPr="00937752">
        <w:rPr>
          <w:rFonts w:ascii="Arial" w:hAnsi="Arial" w:cs="Arial"/>
          <w:lang w:val="es-ES"/>
        </w:rPr>
        <w:t xml:space="preserve"> ya que </w:t>
      </w:r>
      <w:r w:rsidR="003802B0" w:rsidRPr="00937752">
        <w:rPr>
          <w:rFonts w:ascii="Arial" w:eastAsia="Times New Roman" w:hAnsi="Arial" w:cs="Arial"/>
          <w:color w:val="333333"/>
          <w:lang w:val="es-ES" w:eastAsia="es-ES_tradnl"/>
        </w:rPr>
        <w:t>u</w:t>
      </w:r>
      <w:r w:rsidR="009C1A0D" w:rsidRPr="00937752">
        <w:rPr>
          <w:rFonts w:ascii="Arial" w:eastAsia="Times New Roman" w:hAnsi="Arial" w:cs="Arial"/>
          <w:color w:val="333333"/>
          <w:lang w:val="es-ES" w:eastAsia="es-ES_tradnl"/>
        </w:rPr>
        <w:t>na vez expulsados del or</w:t>
      </w:r>
      <w:r w:rsidR="005F67AE" w:rsidRPr="00937752">
        <w:rPr>
          <w:rFonts w:ascii="Arial" w:eastAsia="Times New Roman" w:hAnsi="Arial" w:cs="Arial"/>
          <w:color w:val="333333"/>
          <w:lang w:val="es-ES" w:eastAsia="es-ES_tradnl"/>
        </w:rPr>
        <w:t xml:space="preserve">denamiento jurídico </w:t>
      </w:r>
      <w:r w:rsidR="009C1A0D" w:rsidRPr="00937752">
        <w:rPr>
          <w:rFonts w:ascii="Arial" w:eastAsia="Times New Roman" w:hAnsi="Arial" w:cs="Arial"/>
          <w:color w:val="333333"/>
          <w:lang w:val="es-ES" w:eastAsia="es-ES_tradnl"/>
        </w:rPr>
        <w:t xml:space="preserve"> los arts. 107.2 y 110.4 LHL, la forma de determinar la existencia o no de un incremento susceptible de ser sometido a tributación es algo que solo corresponde al legislador</w:t>
      </w:r>
      <w:r w:rsidR="0050228B" w:rsidRPr="00937752">
        <w:rPr>
          <w:rFonts w:ascii="Arial" w:eastAsia="Times New Roman" w:hAnsi="Arial" w:cs="Arial"/>
          <w:color w:val="333333"/>
          <w:lang w:val="es-ES" w:eastAsia="es-ES_tradnl"/>
        </w:rPr>
        <w:t xml:space="preserve"> (</w:t>
      </w:r>
      <w:r w:rsidR="0050228B" w:rsidRPr="00937752">
        <w:rPr>
          <w:rFonts w:ascii="Arial" w:hAnsi="Arial" w:cs="Arial"/>
          <w:lang w:val="es-ES"/>
        </w:rPr>
        <w:t>Sentencia Tribunal Superior de Justicia de Madrid, sección 9ª, de la Sala Contencioso- Administrativo, de fecha 19 de julio de 2017)</w:t>
      </w:r>
    </w:p>
    <w:p w:rsidR="00C21C32" w:rsidRPr="00937752" w:rsidRDefault="00C21C32" w:rsidP="00C21C32">
      <w:pPr>
        <w:pStyle w:val="Prrafodelista"/>
        <w:rPr>
          <w:rFonts w:ascii="Arial" w:hAnsi="Arial" w:cs="Arial"/>
          <w:lang w:val="es-ES"/>
        </w:rPr>
      </w:pPr>
    </w:p>
    <w:p w:rsidR="00C21C32" w:rsidRPr="00937752" w:rsidRDefault="00C21C32" w:rsidP="00C21C32">
      <w:pPr>
        <w:pStyle w:val="Prrafodelista"/>
        <w:ind w:left="567"/>
        <w:jc w:val="both"/>
        <w:rPr>
          <w:rFonts w:ascii="Arial" w:hAnsi="Arial" w:cs="Arial"/>
          <w:lang w:val="es-ES"/>
        </w:rPr>
      </w:pPr>
    </w:p>
    <w:p w:rsidR="00CC507B" w:rsidRPr="00937752" w:rsidRDefault="00CC507B" w:rsidP="00CC507B">
      <w:pPr>
        <w:jc w:val="both"/>
        <w:rPr>
          <w:rFonts w:ascii="Arial" w:hAnsi="Arial" w:cs="Arial"/>
          <w:lang w:val="es-ES"/>
        </w:rPr>
      </w:pPr>
      <w:r w:rsidRPr="00937752">
        <w:rPr>
          <w:rFonts w:ascii="Arial" w:hAnsi="Arial" w:cs="Arial"/>
          <w:lang w:val="es-ES"/>
        </w:rPr>
        <w:t xml:space="preserve"> </w:t>
      </w:r>
      <w:r w:rsidRPr="00937752">
        <w:rPr>
          <w:rFonts w:ascii="Arial" w:hAnsi="Arial" w:cs="Arial"/>
          <w:b/>
          <w:lang w:val="es-ES"/>
        </w:rPr>
        <w:t>Decisión de la Diputación Provincial de Burgos</w:t>
      </w:r>
      <w:r w:rsidRPr="00937752">
        <w:rPr>
          <w:rFonts w:ascii="Arial" w:hAnsi="Arial" w:cs="Arial"/>
          <w:lang w:val="es-ES"/>
        </w:rPr>
        <w:t>:</w:t>
      </w:r>
    </w:p>
    <w:p w:rsidR="001F1018" w:rsidRPr="00937752" w:rsidRDefault="00533940" w:rsidP="005F67AE">
      <w:pPr>
        <w:ind w:firstLine="207"/>
        <w:jc w:val="both"/>
        <w:rPr>
          <w:rFonts w:ascii="Arial" w:hAnsi="Arial" w:cs="Arial"/>
          <w:lang w:val="es-ES"/>
        </w:rPr>
      </w:pPr>
      <w:r w:rsidRPr="00937752">
        <w:rPr>
          <w:rFonts w:ascii="Arial" w:hAnsi="Arial" w:cs="Arial"/>
          <w:lang w:val="es-ES"/>
        </w:rPr>
        <w:tab/>
      </w:r>
      <w:r w:rsidR="00CC507B" w:rsidRPr="00937752">
        <w:rPr>
          <w:rFonts w:ascii="Arial" w:hAnsi="Arial" w:cs="Arial"/>
          <w:lang w:val="es-ES"/>
        </w:rPr>
        <w:t>Diputación optó por acogerse a la que hemos denominado 2ª interpretación, por considerar más rigurosa su fundamentación y más respetuosa con el principio de seguridad jurídica, y,  en consecuencia, decidió no liquidar el Impuesto por carecer de cobertura legal</w:t>
      </w:r>
      <w:r w:rsidR="00ED2069" w:rsidRPr="00937752">
        <w:rPr>
          <w:rFonts w:ascii="Arial" w:hAnsi="Arial" w:cs="Arial"/>
          <w:lang w:val="es-ES"/>
        </w:rPr>
        <w:t xml:space="preserve"> </w:t>
      </w:r>
      <w:r w:rsidR="003802B0" w:rsidRPr="00937752">
        <w:rPr>
          <w:rFonts w:ascii="Arial" w:hAnsi="Arial" w:cs="Arial"/>
          <w:lang w:val="es-ES"/>
        </w:rPr>
        <w:t>m</w:t>
      </w:r>
      <w:r w:rsidR="00276EC0" w:rsidRPr="00937752">
        <w:rPr>
          <w:rFonts w:ascii="Arial" w:hAnsi="Arial" w:cs="Arial"/>
          <w:lang w:val="es-ES"/>
        </w:rPr>
        <w:t>ientras no se dicte</w:t>
      </w:r>
      <w:r w:rsidR="00ED2069" w:rsidRPr="00937752">
        <w:rPr>
          <w:rFonts w:ascii="Arial" w:hAnsi="Arial" w:cs="Arial"/>
          <w:lang w:val="es-ES"/>
        </w:rPr>
        <w:t xml:space="preserve"> una</w:t>
      </w:r>
      <w:r w:rsidR="00276EC0" w:rsidRPr="00937752">
        <w:rPr>
          <w:rFonts w:ascii="Arial" w:hAnsi="Arial" w:cs="Arial"/>
          <w:lang w:val="es-ES"/>
        </w:rPr>
        <w:t xml:space="preserve"> nueva Ley</w:t>
      </w:r>
      <w:r w:rsidR="00ED2069" w:rsidRPr="00937752">
        <w:rPr>
          <w:rFonts w:ascii="Arial" w:hAnsi="Arial" w:cs="Arial"/>
          <w:lang w:val="es-ES"/>
        </w:rPr>
        <w:t>.</w:t>
      </w:r>
    </w:p>
    <w:p w:rsidR="00ED2069" w:rsidRPr="00937752" w:rsidRDefault="00ED2069" w:rsidP="00C9694C">
      <w:pPr>
        <w:ind w:firstLine="708"/>
        <w:jc w:val="both"/>
        <w:rPr>
          <w:rFonts w:ascii="Arial" w:hAnsi="Arial" w:cs="Arial"/>
        </w:rPr>
      </w:pPr>
      <w:r w:rsidRPr="00937752">
        <w:rPr>
          <w:rFonts w:ascii="Arial" w:hAnsi="Arial" w:cs="Arial"/>
          <w:lang w:val="es-ES"/>
        </w:rPr>
        <w:t>Esta decisión fue comunicada</w:t>
      </w:r>
      <w:r w:rsidR="0000118C" w:rsidRPr="00937752">
        <w:rPr>
          <w:rFonts w:ascii="Arial" w:hAnsi="Arial" w:cs="Arial"/>
          <w:lang w:val="es-ES"/>
        </w:rPr>
        <w:t>, por escrito de Pr</w:t>
      </w:r>
      <w:r w:rsidR="00C21C32" w:rsidRPr="00937752">
        <w:rPr>
          <w:rFonts w:ascii="Arial" w:hAnsi="Arial" w:cs="Arial"/>
          <w:lang w:val="es-ES"/>
        </w:rPr>
        <w:t>esidencia</w:t>
      </w:r>
      <w:r w:rsidR="0000118C" w:rsidRPr="00937752">
        <w:rPr>
          <w:rFonts w:ascii="Arial" w:hAnsi="Arial" w:cs="Arial"/>
          <w:lang w:val="es-ES"/>
        </w:rPr>
        <w:t xml:space="preserve"> de fecha</w:t>
      </w:r>
      <w:r w:rsidR="00C21C32" w:rsidRPr="00937752">
        <w:rPr>
          <w:rFonts w:ascii="Arial" w:hAnsi="Arial" w:cs="Arial"/>
          <w:lang w:val="es-ES"/>
        </w:rPr>
        <w:t xml:space="preserve"> 3 de octubre de 2017,</w:t>
      </w:r>
      <w:r w:rsidR="0000118C" w:rsidRPr="00937752">
        <w:rPr>
          <w:rFonts w:ascii="Arial" w:hAnsi="Arial" w:cs="Arial"/>
          <w:lang w:val="es-ES"/>
        </w:rPr>
        <w:t xml:space="preserve"> </w:t>
      </w:r>
      <w:r w:rsidRPr="00937752">
        <w:rPr>
          <w:rFonts w:ascii="Arial" w:hAnsi="Arial" w:cs="Arial"/>
          <w:lang w:val="es-ES"/>
        </w:rPr>
        <w:t xml:space="preserve"> a aquellos ayuntamientos que,</w:t>
      </w:r>
      <w:r w:rsidR="006C4919" w:rsidRPr="00937752">
        <w:rPr>
          <w:rFonts w:ascii="Arial" w:hAnsi="Arial" w:cs="Arial"/>
          <w:lang w:val="es-ES"/>
        </w:rPr>
        <w:t xml:space="preserve"> de conformidad con lo dispuesto en los artículos</w:t>
      </w:r>
      <w:r w:rsidR="006C4919" w:rsidRPr="00937752">
        <w:rPr>
          <w:rFonts w:ascii="Arial" w:hAnsi="Arial" w:cs="Arial"/>
        </w:rPr>
        <w:t xml:space="preserve"> </w:t>
      </w:r>
      <w:hyperlink r:id="rId5" w:anchor="I207" w:history="1">
        <w:r w:rsidR="006C4919" w:rsidRPr="00937752">
          <w:rPr>
            <w:rFonts w:ascii="Arial" w:hAnsi="Arial" w:cs="Arial"/>
          </w:rPr>
          <w:t>106.3 de la Ley 7/1985, de 2 de abril</w:t>
        </w:r>
      </w:hyperlink>
      <w:r w:rsidR="006C4919" w:rsidRPr="00937752">
        <w:rPr>
          <w:rFonts w:ascii="Arial" w:hAnsi="Arial" w:cs="Arial"/>
        </w:rPr>
        <w:t>, Reguladora de las Bases de</w:t>
      </w:r>
      <w:r w:rsidR="00C9694C" w:rsidRPr="00937752">
        <w:rPr>
          <w:rFonts w:ascii="Arial" w:hAnsi="Arial" w:cs="Arial"/>
        </w:rPr>
        <w:t>l Régimen Local y 7 del TRLRHL</w:t>
      </w:r>
      <w:r w:rsidRPr="00937752">
        <w:rPr>
          <w:rFonts w:ascii="Arial" w:hAnsi="Arial" w:cs="Arial"/>
        </w:rPr>
        <w:t xml:space="preserve">, han delegado la gestión del IIVTNU en la Diputación, advirtiéndose, asimismo, que en el supuesto de no compartir la solución </w:t>
      </w:r>
      <w:r w:rsidR="00C21C32" w:rsidRPr="00937752">
        <w:rPr>
          <w:rFonts w:ascii="Arial" w:hAnsi="Arial" w:cs="Arial"/>
        </w:rPr>
        <w:t>tomada</w:t>
      </w:r>
      <w:r w:rsidRPr="00937752">
        <w:rPr>
          <w:rFonts w:ascii="Arial" w:hAnsi="Arial" w:cs="Arial"/>
        </w:rPr>
        <w:t xml:space="preserve"> podrían acordar la revocación de la delegación.</w:t>
      </w:r>
    </w:p>
    <w:p w:rsidR="00ED2069" w:rsidRPr="00937752" w:rsidRDefault="00C21C32" w:rsidP="00ED2069">
      <w:pPr>
        <w:jc w:val="both"/>
        <w:rPr>
          <w:rFonts w:ascii="Arial" w:hAnsi="Arial" w:cs="Arial"/>
          <w:b/>
        </w:rPr>
      </w:pPr>
      <w:r w:rsidRPr="00937752">
        <w:rPr>
          <w:rFonts w:ascii="Arial" w:hAnsi="Arial" w:cs="Arial"/>
          <w:b/>
        </w:rPr>
        <w:t xml:space="preserve">Sentencia del Tribunal Supremo 1163/2018, </w:t>
      </w:r>
      <w:r w:rsidRPr="00937752">
        <w:rPr>
          <w:rFonts w:ascii="Arial" w:hAnsi="Arial" w:cs="Arial"/>
          <w:b/>
          <w:lang w:val="es-ES"/>
        </w:rPr>
        <w:t xml:space="preserve"> 9 de julio de 2018.</w:t>
      </w:r>
    </w:p>
    <w:p w:rsidR="00533940" w:rsidRPr="00937752" w:rsidRDefault="0014611A" w:rsidP="0014611A">
      <w:pPr>
        <w:pStyle w:val="NormalWeb"/>
        <w:spacing w:before="0" w:beforeAutospacing="0" w:after="0" w:afterAutospacing="0"/>
        <w:jc w:val="both"/>
        <w:rPr>
          <w:rFonts w:ascii="Arial" w:hAnsi="Arial" w:cs="Arial"/>
          <w:b/>
          <w:sz w:val="22"/>
          <w:szCs w:val="22"/>
          <w:lang w:val="es-ES"/>
        </w:rPr>
      </w:pPr>
      <w:r w:rsidRPr="00937752">
        <w:rPr>
          <w:rFonts w:ascii="Arial" w:hAnsi="Arial" w:cs="Arial"/>
          <w:sz w:val="22"/>
          <w:szCs w:val="22"/>
          <w:lang w:val="es-ES"/>
        </w:rPr>
        <w:tab/>
        <w:t>La Sala Tercera del Tribunal Supremo, en Sentencia de  9 de julio de 2018, considera que los preceptos declarados inconstitucionales por la STC 59/2017 continúan siendo aplicables en aquellos supuestos en los que se aprecia la existencia de una plusvalía</w:t>
      </w:r>
      <w:r w:rsidRPr="00937752">
        <w:rPr>
          <w:rFonts w:ascii="Helvetica" w:hAnsi="Helvetica" w:cs="Helvetica"/>
          <w:sz w:val="22"/>
          <w:szCs w:val="22"/>
          <w:lang w:val="es-ES"/>
        </w:rPr>
        <w:t xml:space="preserve">., </w:t>
      </w:r>
      <w:r w:rsidRPr="00937752">
        <w:rPr>
          <w:rFonts w:ascii="Arial" w:hAnsi="Arial" w:cs="Arial"/>
          <w:sz w:val="22"/>
          <w:szCs w:val="22"/>
          <w:lang w:val="es-ES"/>
        </w:rPr>
        <w:t>en base a los argumentos que a continuación se exponen:</w:t>
      </w:r>
      <w:r w:rsidRPr="00937752">
        <w:rPr>
          <w:rFonts w:ascii="Helvetica" w:hAnsi="Helvetica" w:cs="Helvetica"/>
          <w:sz w:val="22"/>
          <w:szCs w:val="22"/>
          <w:lang w:val="es-ES"/>
        </w:rPr>
        <w:t xml:space="preserve"> </w:t>
      </w:r>
    </w:p>
    <w:p w:rsidR="0014611A" w:rsidRPr="00937752" w:rsidRDefault="0014611A" w:rsidP="001B0B75">
      <w:pPr>
        <w:pStyle w:val="NormalWeb"/>
        <w:spacing w:before="0" w:beforeAutospacing="0" w:after="0" w:afterAutospacing="0"/>
        <w:ind w:left="1066"/>
        <w:jc w:val="both"/>
        <w:rPr>
          <w:rFonts w:ascii="Arial" w:hAnsi="Arial" w:cs="Arial"/>
          <w:b/>
          <w:color w:val="333333"/>
          <w:sz w:val="22"/>
          <w:szCs w:val="22"/>
          <w:lang w:val="es-ES"/>
        </w:rPr>
      </w:pPr>
    </w:p>
    <w:p w:rsidR="00533940" w:rsidRPr="00937752" w:rsidRDefault="00533940" w:rsidP="001B0B75">
      <w:pPr>
        <w:pStyle w:val="NormalWeb"/>
        <w:numPr>
          <w:ilvl w:val="0"/>
          <w:numId w:val="6"/>
        </w:numPr>
        <w:spacing w:before="0" w:beforeAutospacing="0" w:after="0" w:afterAutospacing="0"/>
        <w:ind w:left="1066"/>
        <w:jc w:val="both"/>
        <w:rPr>
          <w:rFonts w:ascii="Arial" w:hAnsi="Arial" w:cs="Arial"/>
          <w:color w:val="333333"/>
          <w:sz w:val="22"/>
          <w:szCs w:val="22"/>
          <w:lang w:val="es-ES"/>
        </w:rPr>
      </w:pPr>
      <w:r w:rsidRPr="00937752">
        <w:rPr>
          <w:rFonts w:ascii="Arial" w:hAnsi="Arial" w:cs="Arial"/>
          <w:color w:val="333333"/>
          <w:sz w:val="22"/>
          <w:szCs w:val="22"/>
          <w:lang w:val="es-ES"/>
        </w:rPr>
        <w:t>",. los artículos 107.1 y 107.2 a) del TRLHL, ..,adolecen solo de una inconstitucionalidad y nulidad parcial…”</w:t>
      </w:r>
    </w:p>
    <w:p w:rsidR="001B0B75" w:rsidRPr="00937752" w:rsidRDefault="001B0B75" w:rsidP="001B0B75">
      <w:pPr>
        <w:pStyle w:val="NormalWeb"/>
        <w:spacing w:before="0" w:beforeAutospacing="0" w:after="0" w:afterAutospacing="0"/>
        <w:jc w:val="both"/>
        <w:rPr>
          <w:rFonts w:ascii="Arial" w:hAnsi="Arial" w:cs="Arial"/>
          <w:color w:val="333333"/>
          <w:sz w:val="22"/>
          <w:szCs w:val="22"/>
          <w:lang w:val="es-ES"/>
        </w:rPr>
      </w:pPr>
    </w:p>
    <w:p w:rsidR="00533940" w:rsidRPr="00937752" w:rsidRDefault="00533940" w:rsidP="001B0B75">
      <w:pPr>
        <w:pStyle w:val="NormalWeb"/>
        <w:spacing w:before="0" w:beforeAutospacing="0" w:after="0" w:afterAutospacing="0"/>
        <w:ind w:left="1066"/>
        <w:jc w:val="both"/>
        <w:rPr>
          <w:rFonts w:ascii="Arial" w:hAnsi="Arial" w:cs="Arial"/>
          <w:color w:val="333333"/>
          <w:sz w:val="22"/>
          <w:szCs w:val="22"/>
          <w:lang w:val="es-ES"/>
        </w:rPr>
      </w:pPr>
      <w:r w:rsidRPr="00937752">
        <w:rPr>
          <w:rFonts w:ascii="Arial" w:hAnsi="Arial" w:cs="Arial"/>
          <w:color w:val="333333"/>
          <w:sz w:val="22"/>
          <w:szCs w:val="22"/>
          <w:lang w:val="es-ES"/>
        </w:rPr>
        <w:t xml:space="preserve">“En este sentido, son constitucionales y resultan, pues, plenamente aplicables, en todos aquellos supuestos en los que el obligado tributario no ha logrado acreditar (…) que la transmisión de la propiedad de los terrenos </w:t>
      </w:r>
      <w:r w:rsidRPr="00937752">
        <w:rPr>
          <w:rFonts w:ascii="Arial" w:hAnsi="Arial" w:cs="Arial"/>
          <w:color w:val="333333"/>
          <w:sz w:val="22"/>
          <w:szCs w:val="22"/>
          <w:lang w:val="es-ES"/>
        </w:rPr>
        <w:lastRenderedPageBreak/>
        <w:t>por cualquier título (o la constitución o transmisión de cualquier derecho real de goce, limitativo del dominio, sobre los referidos terrenos) no ha puesto de manifiesto un incremento de su valor o, lo que es igual, una capacidad económica susceptible de ser gravada con fundamento en el artículo 31.1 CE".</w:t>
      </w:r>
    </w:p>
    <w:p w:rsidR="001B0B75" w:rsidRPr="00937752" w:rsidRDefault="001B0B75" w:rsidP="001B0B75">
      <w:pPr>
        <w:pStyle w:val="NormalWeb"/>
        <w:spacing w:before="0" w:beforeAutospacing="0" w:after="0" w:afterAutospacing="0"/>
        <w:ind w:left="1066"/>
        <w:jc w:val="both"/>
        <w:rPr>
          <w:rFonts w:ascii="Arial" w:hAnsi="Arial" w:cs="Arial"/>
          <w:color w:val="333333"/>
          <w:sz w:val="22"/>
          <w:szCs w:val="22"/>
          <w:lang w:val="es-ES"/>
        </w:rPr>
      </w:pPr>
    </w:p>
    <w:p w:rsidR="00533940" w:rsidRPr="00937752" w:rsidRDefault="0014611A" w:rsidP="001B0B75">
      <w:pPr>
        <w:pStyle w:val="NormalWeb"/>
        <w:numPr>
          <w:ilvl w:val="0"/>
          <w:numId w:val="6"/>
        </w:numPr>
        <w:spacing w:before="0" w:beforeAutospacing="0" w:after="0" w:afterAutospacing="0"/>
        <w:ind w:left="1066"/>
        <w:jc w:val="both"/>
        <w:rPr>
          <w:rFonts w:ascii="Arial" w:hAnsi="Arial" w:cs="Arial"/>
          <w:color w:val="333333"/>
          <w:sz w:val="22"/>
          <w:szCs w:val="22"/>
          <w:lang w:val="es-ES"/>
        </w:rPr>
      </w:pPr>
      <w:r w:rsidRPr="00937752">
        <w:rPr>
          <w:rFonts w:ascii="Arial" w:hAnsi="Arial" w:cs="Arial"/>
          <w:color w:val="333333"/>
          <w:sz w:val="22"/>
          <w:szCs w:val="22"/>
          <w:lang w:val="es-ES"/>
        </w:rPr>
        <w:t>De otra parte,</w:t>
      </w:r>
      <w:r w:rsidR="00533940" w:rsidRPr="00937752">
        <w:rPr>
          <w:rFonts w:ascii="Arial" w:hAnsi="Arial" w:cs="Arial"/>
          <w:color w:val="333333"/>
          <w:sz w:val="22"/>
          <w:szCs w:val="22"/>
          <w:lang w:val="es-ES"/>
        </w:rPr>
        <w:t xml:space="preserve"> "el artículo 110.4 del TRLHL, sin embargo, es inconstitucional y nulo en todo caso (inconstitucionalidad total) porque, como señala la STC 59/2017, ‘no permite acreditar un resultado diferente al resultante de la aplicación de las reglas de valoración que contiene’</w:t>
      </w:r>
    </w:p>
    <w:p w:rsidR="001B0B75" w:rsidRPr="00937752" w:rsidRDefault="001B0B75" w:rsidP="001B0B75">
      <w:pPr>
        <w:pStyle w:val="NormalWeb"/>
        <w:spacing w:before="0" w:beforeAutospacing="0" w:after="0" w:afterAutospacing="0"/>
        <w:ind w:left="1066"/>
        <w:jc w:val="both"/>
        <w:rPr>
          <w:rFonts w:ascii="Arial" w:hAnsi="Arial" w:cs="Arial"/>
          <w:color w:val="333333"/>
          <w:sz w:val="22"/>
          <w:szCs w:val="22"/>
          <w:lang w:val="es-ES"/>
        </w:rPr>
      </w:pPr>
    </w:p>
    <w:p w:rsidR="00533940" w:rsidRPr="00937752" w:rsidRDefault="00533940" w:rsidP="001B0B75">
      <w:pPr>
        <w:pStyle w:val="NormalWeb"/>
        <w:numPr>
          <w:ilvl w:val="0"/>
          <w:numId w:val="6"/>
        </w:numPr>
        <w:spacing w:before="0" w:beforeAutospacing="0" w:after="0" w:afterAutospacing="0"/>
        <w:ind w:left="1066"/>
        <w:jc w:val="both"/>
        <w:rPr>
          <w:rFonts w:ascii="Arial" w:hAnsi="Arial" w:cs="Arial"/>
          <w:color w:val="333333"/>
          <w:sz w:val="22"/>
          <w:szCs w:val="22"/>
          <w:lang w:val="es-ES"/>
        </w:rPr>
      </w:pPr>
      <w:r w:rsidRPr="00937752">
        <w:rPr>
          <w:rFonts w:ascii="Arial" w:hAnsi="Arial" w:cs="Arial"/>
          <w:color w:val="333333"/>
          <w:sz w:val="22"/>
          <w:szCs w:val="22"/>
          <w:lang w:val="es-ES"/>
        </w:rPr>
        <w:t>Es, precisamente, esta nulidad total del artículo 110.4 del TRLHL la que, "posibilita que los obligados tributarios puedan probar, desde la STC 59/2017, la inexistencia de un aumento del valor del terreno ante la Administración.</w:t>
      </w:r>
    </w:p>
    <w:p w:rsidR="001B0B75" w:rsidRPr="00937752" w:rsidRDefault="001B0B75" w:rsidP="001B0B75">
      <w:pPr>
        <w:pStyle w:val="NormalWeb"/>
        <w:spacing w:before="0" w:beforeAutospacing="0" w:after="0" w:afterAutospacing="0"/>
        <w:ind w:left="1066"/>
        <w:jc w:val="both"/>
        <w:rPr>
          <w:rFonts w:ascii="Arial" w:hAnsi="Arial" w:cs="Arial"/>
          <w:color w:val="333333"/>
          <w:sz w:val="22"/>
          <w:szCs w:val="22"/>
          <w:lang w:val="es-ES"/>
        </w:rPr>
      </w:pPr>
    </w:p>
    <w:p w:rsidR="00533940" w:rsidRPr="00937752" w:rsidRDefault="00533940" w:rsidP="001B0B75">
      <w:pPr>
        <w:pStyle w:val="NormalWeb"/>
        <w:numPr>
          <w:ilvl w:val="0"/>
          <w:numId w:val="6"/>
        </w:numPr>
        <w:spacing w:before="0" w:beforeAutospacing="0" w:after="0" w:afterAutospacing="0"/>
        <w:ind w:left="1066"/>
        <w:jc w:val="both"/>
        <w:rPr>
          <w:rFonts w:ascii="Arial" w:hAnsi="Arial" w:cs="Arial"/>
          <w:color w:val="333333"/>
          <w:sz w:val="22"/>
          <w:szCs w:val="22"/>
          <w:lang w:val="es-ES"/>
        </w:rPr>
      </w:pPr>
      <w:r w:rsidRPr="00937752">
        <w:rPr>
          <w:rFonts w:ascii="Arial" w:hAnsi="Arial" w:cs="Arial"/>
          <w:color w:val="333333"/>
          <w:sz w:val="22"/>
          <w:szCs w:val="22"/>
          <w:lang w:val="es-ES"/>
        </w:rPr>
        <w:t>Considera el tribunal, en primer lugar, que corresponde "al obligado tributario probar la inexistencia de incremento de valor del terreno onerosamente transmitido"; en segundo término, que para acreditar que no ha existido la plusvalía gravada por el IIVTNU "podrá el sujeto pasivo ofrecer cualquier principio de prueba, que al menos indiciariamente permita apreciarla" (como es, por ejemplo, la diferencia entre el valor de adquisición y el de transmisión que se refleja en las correspondientes escrituras públicas); y, en tercer lugar, en fin, que aportada "por el obligado tributario la prueba de que el terreno no ha aumentado de valor, deberá ser la Administración la que pruebe en contra de dichas pretensiones para poder aplicar los preceptos del TRLHL que el fallo de la STC 59/2017 ha dejado en vigor en caso de plusvalía</w:t>
      </w:r>
      <w:r w:rsidRPr="00937752">
        <w:rPr>
          <w:rFonts w:ascii="Arial" w:hAnsi="Arial" w:cs="Arial"/>
          <w:b/>
          <w:color w:val="333333"/>
          <w:sz w:val="22"/>
          <w:szCs w:val="22"/>
          <w:lang w:val="es-ES"/>
        </w:rPr>
        <w:t>".</w:t>
      </w:r>
    </w:p>
    <w:p w:rsidR="001B0B75" w:rsidRPr="00937752" w:rsidRDefault="001B0B75" w:rsidP="001B0B75">
      <w:pPr>
        <w:pStyle w:val="NormalWeb"/>
        <w:spacing w:before="0" w:beforeAutospacing="0" w:after="0" w:afterAutospacing="0"/>
        <w:ind w:left="1066"/>
        <w:jc w:val="both"/>
        <w:rPr>
          <w:rFonts w:ascii="Arial" w:hAnsi="Arial" w:cs="Arial"/>
          <w:color w:val="333333"/>
          <w:sz w:val="22"/>
          <w:szCs w:val="22"/>
          <w:lang w:val="es-ES"/>
        </w:rPr>
      </w:pPr>
    </w:p>
    <w:p w:rsidR="00533940" w:rsidRPr="00937752" w:rsidRDefault="001B0B75" w:rsidP="0014611A">
      <w:pPr>
        <w:pStyle w:val="NormalWeb"/>
        <w:numPr>
          <w:ilvl w:val="0"/>
          <w:numId w:val="6"/>
        </w:numPr>
        <w:spacing w:before="0" w:beforeAutospacing="0" w:after="0" w:afterAutospacing="0"/>
        <w:ind w:left="1066"/>
        <w:jc w:val="both"/>
        <w:rPr>
          <w:rFonts w:ascii="Arial" w:hAnsi="Arial" w:cs="Arial"/>
          <w:color w:val="333333"/>
          <w:sz w:val="22"/>
          <w:szCs w:val="22"/>
          <w:lang w:val="es-ES"/>
        </w:rPr>
      </w:pPr>
      <w:r w:rsidRPr="00937752">
        <w:rPr>
          <w:rFonts w:ascii="Arial" w:hAnsi="Arial" w:cs="Arial"/>
          <w:color w:val="333333"/>
          <w:sz w:val="22"/>
          <w:szCs w:val="22"/>
          <w:lang w:val="es-ES"/>
        </w:rPr>
        <w:t>Finalmente, considera el tribunal que en la medida en que la existencia de una plusvalía real y efectiva resulta perfectamente constatable sobre la base del empleo de los medios de comprobación que establece la Ley General Tributaria en los artículos 105 y siguientes, medios que permiten rechazar que la norma autorice a la Administración para decidir con entera libertad el valor real del terreno onerosamente transmitido, no existe -en los casos en los que se liquida el IIVTNU- vulneración de la reserva de ley tributaria recogida en los artículos 31.3 y 133.1 CE, ni quiebra alguna del principio de seguridad jurídica (art. 9.3 CE).</w:t>
      </w:r>
    </w:p>
    <w:p w:rsidR="0014611A" w:rsidRPr="00937752" w:rsidRDefault="0014611A" w:rsidP="0014611A">
      <w:pPr>
        <w:pStyle w:val="Prrafodelista"/>
        <w:rPr>
          <w:rFonts w:ascii="Arial" w:hAnsi="Arial" w:cs="Arial"/>
          <w:color w:val="333333"/>
          <w:lang w:val="es-ES"/>
        </w:rPr>
      </w:pPr>
    </w:p>
    <w:p w:rsidR="0014611A" w:rsidRPr="00937752" w:rsidRDefault="0014611A" w:rsidP="0014611A">
      <w:pPr>
        <w:pStyle w:val="NormalWeb"/>
        <w:spacing w:before="0" w:beforeAutospacing="0" w:after="0" w:afterAutospacing="0"/>
        <w:jc w:val="both"/>
        <w:rPr>
          <w:rFonts w:ascii="Arial" w:hAnsi="Arial" w:cs="Arial"/>
          <w:b/>
          <w:color w:val="333333"/>
          <w:sz w:val="22"/>
          <w:szCs w:val="22"/>
          <w:lang w:val="es-ES"/>
        </w:rPr>
      </w:pPr>
      <w:r w:rsidRPr="00937752">
        <w:rPr>
          <w:rFonts w:ascii="Arial" w:hAnsi="Arial" w:cs="Arial"/>
          <w:b/>
          <w:color w:val="333333"/>
          <w:sz w:val="22"/>
          <w:szCs w:val="22"/>
          <w:lang w:val="es-ES"/>
        </w:rPr>
        <w:t>Reacción de la Diputación Provincial de Burgos</w:t>
      </w:r>
      <w:r w:rsidR="00F15CFC" w:rsidRPr="00937752">
        <w:rPr>
          <w:rFonts w:ascii="Arial" w:hAnsi="Arial" w:cs="Arial"/>
          <w:b/>
          <w:color w:val="333333"/>
          <w:sz w:val="22"/>
          <w:szCs w:val="22"/>
          <w:lang w:val="es-ES"/>
        </w:rPr>
        <w:t xml:space="preserve"> a la STS</w:t>
      </w:r>
      <w:r w:rsidRPr="00937752">
        <w:rPr>
          <w:rFonts w:ascii="Arial" w:hAnsi="Arial" w:cs="Arial"/>
          <w:b/>
          <w:color w:val="333333"/>
          <w:sz w:val="22"/>
          <w:szCs w:val="22"/>
          <w:lang w:val="es-ES"/>
        </w:rPr>
        <w:t>.</w:t>
      </w:r>
    </w:p>
    <w:p w:rsidR="0014611A" w:rsidRPr="00937752" w:rsidRDefault="0014611A" w:rsidP="0014611A">
      <w:pPr>
        <w:pStyle w:val="NormalWeb"/>
        <w:spacing w:before="0" w:beforeAutospacing="0" w:after="0" w:afterAutospacing="0"/>
        <w:jc w:val="both"/>
        <w:rPr>
          <w:rFonts w:ascii="Arial" w:hAnsi="Arial" w:cs="Arial"/>
          <w:color w:val="333333"/>
          <w:sz w:val="22"/>
          <w:szCs w:val="22"/>
          <w:lang w:val="es-ES"/>
        </w:rPr>
      </w:pPr>
    </w:p>
    <w:p w:rsidR="00E80E9C" w:rsidRPr="00937752" w:rsidRDefault="0014611A" w:rsidP="0014611A">
      <w:pPr>
        <w:pStyle w:val="NormalWeb"/>
        <w:spacing w:before="0" w:beforeAutospacing="0" w:after="0" w:afterAutospacing="0"/>
        <w:jc w:val="both"/>
        <w:rPr>
          <w:rFonts w:ascii="Arial" w:hAnsi="Arial" w:cs="Arial"/>
          <w:color w:val="333333"/>
          <w:sz w:val="22"/>
          <w:szCs w:val="22"/>
          <w:lang w:val="es-ES"/>
        </w:rPr>
      </w:pPr>
      <w:r w:rsidRPr="00937752">
        <w:rPr>
          <w:rFonts w:ascii="Arial" w:hAnsi="Arial" w:cs="Arial"/>
          <w:color w:val="333333"/>
          <w:sz w:val="22"/>
          <w:szCs w:val="22"/>
          <w:lang w:val="es-ES"/>
        </w:rPr>
        <w:tab/>
        <w:t>La publicación de la sentencia del T</w:t>
      </w:r>
      <w:r w:rsidR="00E80E9C" w:rsidRPr="00937752">
        <w:rPr>
          <w:rFonts w:ascii="Arial" w:hAnsi="Arial" w:cs="Arial"/>
          <w:color w:val="333333"/>
          <w:sz w:val="22"/>
          <w:szCs w:val="22"/>
          <w:lang w:val="es-ES"/>
        </w:rPr>
        <w:t xml:space="preserve">S anteriormente referida impone a esta Administración Provincial la obligación de someterse a los criterios recogidos en la </w:t>
      </w:r>
      <w:r w:rsidR="00E80E9C" w:rsidRPr="00937752">
        <w:rPr>
          <w:rFonts w:ascii="Arial" w:hAnsi="Arial" w:cs="Arial"/>
          <w:color w:val="333333"/>
          <w:sz w:val="22"/>
          <w:szCs w:val="22"/>
          <w:lang w:val="es-ES"/>
        </w:rPr>
        <w:lastRenderedPageBreak/>
        <w:t>misma, y, en consecuencia, corregir inmediatamente la decisión adoptada de cesar en la liquidación del IIVTNU.</w:t>
      </w:r>
    </w:p>
    <w:p w:rsidR="00E80E9C" w:rsidRPr="00937752" w:rsidRDefault="00E80E9C" w:rsidP="0014611A">
      <w:pPr>
        <w:pStyle w:val="NormalWeb"/>
        <w:spacing w:before="0" w:beforeAutospacing="0" w:after="0" w:afterAutospacing="0"/>
        <w:jc w:val="both"/>
        <w:rPr>
          <w:rFonts w:ascii="Arial" w:hAnsi="Arial" w:cs="Arial"/>
          <w:color w:val="333333"/>
          <w:sz w:val="22"/>
          <w:szCs w:val="22"/>
          <w:lang w:val="es-ES"/>
        </w:rPr>
      </w:pPr>
    </w:p>
    <w:p w:rsidR="0014611A" w:rsidRPr="00937752" w:rsidRDefault="00E80E9C" w:rsidP="0014611A">
      <w:pPr>
        <w:pStyle w:val="NormalWeb"/>
        <w:spacing w:before="0" w:beforeAutospacing="0" w:after="0" w:afterAutospacing="0"/>
        <w:jc w:val="both"/>
        <w:rPr>
          <w:rFonts w:ascii="Arial" w:hAnsi="Arial" w:cs="Arial"/>
          <w:color w:val="333333"/>
          <w:sz w:val="22"/>
          <w:szCs w:val="22"/>
          <w:lang w:val="es-ES"/>
        </w:rPr>
      </w:pPr>
      <w:r w:rsidRPr="00937752">
        <w:rPr>
          <w:rFonts w:ascii="Arial" w:hAnsi="Arial" w:cs="Arial"/>
          <w:color w:val="333333"/>
          <w:sz w:val="22"/>
          <w:szCs w:val="22"/>
          <w:lang w:val="es-ES"/>
        </w:rPr>
        <w:tab/>
        <w:t xml:space="preserve">Por consiguiente, respecto a todos aquellos hechos imponible </w:t>
      </w:r>
      <w:r w:rsidR="00F15CFC" w:rsidRPr="00937752">
        <w:rPr>
          <w:rFonts w:ascii="Arial" w:hAnsi="Arial" w:cs="Arial"/>
          <w:color w:val="333333"/>
          <w:sz w:val="22"/>
          <w:szCs w:val="22"/>
          <w:lang w:val="es-ES"/>
        </w:rPr>
        <w:t>de los que tenga conocimiento  esta</w:t>
      </w:r>
      <w:r w:rsidRPr="00937752">
        <w:rPr>
          <w:rFonts w:ascii="Arial" w:hAnsi="Arial" w:cs="Arial"/>
          <w:color w:val="333333"/>
          <w:sz w:val="22"/>
          <w:szCs w:val="22"/>
          <w:lang w:val="es-ES"/>
        </w:rPr>
        <w:t xml:space="preserve"> Administración, no liquidados hasta la fecha por efecto de la suspensión acordada, se han iniciado las actuaciones para liquidar el impuesto, determinando la cuantía de la obligación tributaria que será notificada a los interesados</w:t>
      </w:r>
      <w:r w:rsidR="00F15CFC" w:rsidRPr="00937752">
        <w:rPr>
          <w:rFonts w:ascii="Arial" w:hAnsi="Arial" w:cs="Arial"/>
          <w:color w:val="333333"/>
          <w:sz w:val="22"/>
          <w:szCs w:val="22"/>
          <w:lang w:val="es-ES"/>
        </w:rPr>
        <w:t>. Entonces, corresponderá a estos probar la inexistencia de incremento de valor del terreno mediante cualquier principio de prueba, que al menos indiciariamente permita apreciarla, lo que determinará la nulidad de la liquidación, salvo que la Diputación pueda acreditar lo contario.</w:t>
      </w:r>
    </w:p>
    <w:p w:rsidR="00F15CFC" w:rsidRPr="00937752" w:rsidRDefault="00F15CFC" w:rsidP="006A1946">
      <w:pPr>
        <w:ind w:firstLine="567"/>
        <w:jc w:val="both"/>
        <w:rPr>
          <w:rFonts w:ascii="Arial" w:hAnsi="Arial" w:cs="Arial"/>
          <w:lang w:val="es-ES"/>
        </w:rPr>
      </w:pPr>
    </w:p>
    <w:p w:rsidR="005545B7" w:rsidRPr="00937752" w:rsidRDefault="005545B7" w:rsidP="006A1946">
      <w:pPr>
        <w:ind w:firstLine="567"/>
        <w:jc w:val="both"/>
        <w:rPr>
          <w:rFonts w:ascii="Arial" w:hAnsi="Arial" w:cs="Arial"/>
          <w:lang w:val="es-ES"/>
        </w:rPr>
      </w:pPr>
      <w:r w:rsidRPr="00937752">
        <w:rPr>
          <w:rFonts w:ascii="Arial" w:hAnsi="Arial" w:cs="Arial"/>
          <w:lang w:val="es-ES"/>
        </w:rPr>
        <w:t>Es cuanto deseábamos informarles en relación con este importante asunto, poniéndonos a su disposición para cualquier cuestión que puedan plantearnos</w:t>
      </w:r>
      <w:r w:rsidR="00F15CFC" w:rsidRPr="00937752">
        <w:rPr>
          <w:rFonts w:ascii="Arial" w:hAnsi="Arial" w:cs="Arial"/>
          <w:lang w:val="es-ES"/>
        </w:rPr>
        <w:t>.</w:t>
      </w:r>
      <w:r w:rsidRPr="00937752">
        <w:rPr>
          <w:rFonts w:ascii="Arial" w:hAnsi="Arial" w:cs="Arial"/>
          <w:lang w:val="es-ES"/>
        </w:rPr>
        <w:t>.</w:t>
      </w:r>
    </w:p>
    <w:p w:rsidR="005545B7" w:rsidRPr="00937752" w:rsidRDefault="005545B7" w:rsidP="006A1946">
      <w:pPr>
        <w:ind w:firstLine="567"/>
        <w:jc w:val="both"/>
        <w:rPr>
          <w:rFonts w:ascii="Arial" w:hAnsi="Arial" w:cs="Arial"/>
          <w:lang w:val="es-ES"/>
        </w:rPr>
      </w:pPr>
      <w:r w:rsidRPr="00937752">
        <w:rPr>
          <w:rFonts w:ascii="Arial" w:hAnsi="Arial" w:cs="Arial"/>
          <w:lang w:val="es-ES"/>
        </w:rPr>
        <w:t>Reciba un cordial saludo.</w:t>
      </w:r>
    </w:p>
    <w:p w:rsidR="005545B7" w:rsidRPr="00937752" w:rsidRDefault="005545B7" w:rsidP="006A1946">
      <w:pPr>
        <w:ind w:firstLine="567"/>
        <w:jc w:val="both"/>
        <w:rPr>
          <w:rFonts w:ascii="Arial" w:hAnsi="Arial" w:cs="Arial"/>
          <w:lang w:val="es-ES"/>
        </w:rPr>
      </w:pPr>
    </w:p>
    <w:p w:rsidR="005545B7" w:rsidRPr="00937752" w:rsidRDefault="00F15CFC" w:rsidP="005545B7">
      <w:pPr>
        <w:ind w:firstLine="567"/>
        <w:jc w:val="center"/>
        <w:rPr>
          <w:rFonts w:ascii="Arial" w:hAnsi="Arial" w:cs="Arial"/>
          <w:lang w:val="es-ES"/>
        </w:rPr>
      </w:pPr>
      <w:r w:rsidRPr="00937752">
        <w:rPr>
          <w:rFonts w:ascii="Arial" w:hAnsi="Arial" w:cs="Arial"/>
          <w:lang w:val="es-ES"/>
        </w:rPr>
        <w:t xml:space="preserve">En Burgos, a </w:t>
      </w:r>
      <w:r w:rsidR="00937752" w:rsidRPr="00937752">
        <w:rPr>
          <w:rFonts w:ascii="Arial" w:hAnsi="Arial" w:cs="Arial"/>
          <w:lang w:val="es-ES"/>
        </w:rPr>
        <w:t>14</w:t>
      </w:r>
      <w:r w:rsidRPr="00937752">
        <w:rPr>
          <w:rFonts w:ascii="Arial" w:hAnsi="Arial" w:cs="Arial"/>
          <w:lang w:val="es-ES"/>
        </w:rPr>
        <w:t xml:space="preserve"> de noviembre de 2018</w:t>
      </w:r>
    </w:p>
    <w:p w:rsidR="005545B7" w:rsidRPr="00937752" w:rsidRDefault="00C21C32" w:rsidP="00CF62EC">
      <w:pPr>
        <w:ind w:firstLine="567"/>
        <w:jc w:val="center"/>
        <w:rPr>
          <w:rFonts w:ascii="Arial" w:hAnsi="Arial" w:cs="Arial"/>
          <w:lang w:val="es-ES"/>
        </w:rPr>
      </w:pPr>
      <w:r w:rsidRPr="00937752">
        <w:rPr>
          <w:rFonts w:ascii="Arial" w:hAnsi="Arial" w:cs="Arial"/>
          <w:lang w:val="es-ES"/>
        </w:rPr>
        <w:t>El Jefe del Servicio</w:t>
      </w:r>
    </w:p>
    <w:p w:rsidR="00CF62EC" w:rsidRPr="00937752" w:rsidRDefault="00CF62EC" w:rsidP="00CF62EC">
      <w:pPr>
        <w:ind w:firstLine="567"/>
        <w:jc w:val="center"/>
        <w:rPr>
          <w:rFonts w:ascii="Arial" w:hAnsi="Arial" w:cs="Arial"/>
          <w:lang w:val="es-ES"/>
        </w:rPr>
      </w:pPr>
    </w:p>
    <w:p w:rsidR="005545B7" w:rsidRPr="00937752" w:rsidRDefault="005545B7" w:rsidP="005545B7">
      <w:pPr>
        <w:ind w:firstLine="567"/>
        <w:jc w:val="center"/>
        <w:rPr>
          <w:rFonts w:ascii="Arial" w:eastAsia="Times New Roman" w:hAnsi="Arial" w:cs="Arial"/>
          <w:color w:val="333333"/>
          <w:lang w:val="es-ES" w:eastAsia="es-ES_tradnl"/>
        </w:rPr>
      </w:pPr>
      <w:proofErr w:type="spellStart"/>
      <w:r w:rsidRPr="00937752">
        <w:rPr>
          <w:rFonts w:ascii="Arial" w:hAnsi="Arial" w:cs="Arial"/>
          <w:lang w:val="es-ES"/>
        </w:rPr>
        <w:t>Fdo</w:t>
      </w:r>
      <w:proofErr w:type="spellEnd"/>
      <w:r w:rsidRPr="00937752">
        <w:rPr>
          <w:rFonts w:ascii="Arial" w:hAnsi="Arial" w:cs="Arial"/>
          <w:lang w:val="es-ES"/>
        </w:rPr>
        <w:t>:</w:t>
      </w:r>
      <w:r w:rsidR="00C21C32" w:rsidRPr="00937752">
        <w:rPr>
          <w:rFonts w:ascii="Arial" w:hAnsi="Arial" w:cs="Arial"/>
          <w:lang w:val="es-ES"/>
        </w:rPr>
        <w:t xml:space="preserve"> Javier Gabeiras </w:t>
      </w:r>
      <w:proofErr w:type="spellStart"/>
      <w:r w:rsidR="00C21C32" w:rsidRPr="00937752">
        <w:rPr>
          <w:rFonts w:ascii="Arial" w:hAnsi="Arial" w:cs="Arial"/>
          <w:lang w:val="es-ES"/>
        </w:rPr>
        <w:t>Vérez</w:t>
      </w:r>
      <w:proofErr w:type="spellEnd"/>
    </w:p>
    <w:sectPr w:rsidR="005545B7" w:rsidRPr="00937752" w:rsidSect="00CF62EC">
      <w:pgSz w:w="11906" w:h="16838"/>
      <w:pgMar w:top="3970"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7868B1"/>
    <w:multiLevelType w:val="hybridMultilevel"/>
    <w:tmpl w:val="371813DA"/>
    <w:lvl w:ilvl="0" w:tplc="101E968E">
      <w:start w:val="1"/>
      <w:numFmt w:val="bullet"/>
      <w:lvlText w:val="-"/>
      <w:lvlJc w:val="left"/>
      <w:pPr>
        <w:ind w:left="1425" w:hanging="360"/>
      </w:pPr>
      <w:rPr>
        <w:rFonts w:ascii="Calibri" w:eastAsiaTheme="minorHAnsi" w:hAnsi="Calibri" w:cs="Calibri" w:hint="default"/>
      </w:rPr>
    </w:lvl>
    <w:lvl w:ilvl="1" w:tplc="040A0003" w:tentative="1">
      <w:start w:val="1"/>
      <w:numFmt w:val="bullet"/>
      <w:lvlText w:val="o"/>
      <w:lvlJc w:val="left"/>
      <w:pPr>
        <w:ind w:left="2145" w:hanging="360"/>
      </w:pPr>
      <w:rPr>
        <w:rFonts w:ascii="Courier New" w:hAnsi="Courier New" w:cs="Courier New" w:hint="default"/>
      </w:rPr>
    </w:lvl>
    <w:lvl w:ilvl="2" w:tplc="040A0005" w:tentative="1">
      <w:start w:val="1"/>
      <w:numFmt w:val="bullet"/>
      <w:lvlText w:val=""/>
      <w:lvlJc w:val="left"/>
      <w:pPr>
        <w:ind w:left="2865" w:hanging="360"/>
      </w:pPr>
      <w:rPr>
        <w:rFonts w:ascii="Wingdings" w:hAnsi="Wingdings" w:hint="default"/>
      </w:rPr>
    </w:lvl>
    <w:lvl w:ilvl="3" w:tplc="040A0001" w:tentative="1">
      <w:start w:val="1"/>
      <w:numFmt w:val="bullet"/>
      <w:lvlText w:val=""/>
      <w:lvlJc w:val="left"/>
      <w:pPr>
        <w:ind w:left="3585" w:hanging="360"/>
      </w:pPr>
      <w:rPr>
        <w:rFonts w:ascii="Symbol" w:hAnsi="Symbol" w:hint="default"/>
      </w:rPr>
    </w:lvl>
    <w:lvl w:ilvl="4" w:tplc="040A0003" w:tentative="1">
      <w:start w:val="1"/>
      <w:numFmt w:val="bullet"/>
      <w:lvlText w:val="o"/>
      <w:lvlJc w:val="left"/>
      <w:pPr>
        <w:ind w:left="4305" w:hanging="360"/>
      </w:pPr>
      <w:rPr>
        <w:rFonts w:ascii="Courier New" w:hAnsi="Courier New" w:cs="Courier New" w:hint="default"/>
      </w:rPr>
    </w:lvl>
    <w:lvl w:ilvl="5" w:tplc="040A0005" w:tentative="1">
      <w:start w:val="1"/>
      <w:numFmt w:val="bullet"/>
      <w:lvlText w:val=""/>
      <w:lvlJc w:val="left"/>
      <w:pPr>
        <w:ind w:left="5025" w:hanging="360"/>
      </w:pPr>
      <w:rPr>
        <w:rFonts w:ascii="Wingdings" w:hAnsi="Wingdings" w:hint="default"/>
      </w:rPr>
    </w:lvl>
    <w:lvl w:ilvl="6" w:tplc="040A0001" w:tentative="1">
      <w:start w:val="1"/>
      <w:numFmt w:val="bullet"/>
      <w:lvlText w:val=""/>
      <w:lvlJc w:val="left"/>
      <w:pPr>
        <w:ind w:left="5745" w:hanging="360"/>
      </w:pPr>
      <w:rPr>
        <w:rFonts w:ascii="Symbol" w:hAnsi="Symbol" w:hint="default"/>
      </w:rPr>
    </w:lvl>
    <w:lvl w:ilvl="7" w:tplc="040A0003" w:tentative="1">
      <w:start w:val="1"/>
      <w:numFmt w:val="bullet"/>
      <w:lvlText w:val="o"/>
      <w:lvlJc w:val="left"/>
      <w:pPr>
        <w:ind w:left="6465" w:hanging="360"/>
      </w:pPr>
      <w:rPr>
        <w:rFonts w:ascii="Courier New" w:hAnsi="Courier New" w:cs="Courier New" w:hint="default"/>
      </w:rPr>
    </w:lvl>
    <w:lvl w:ilvl="8" w:tplc="040A0005" w:tentative="1">
      <w:start w:val="1"/>
      <w:numFmt w:val="bullet"/>
      <w:lvlText w:val=""/>
      <w:lvlJc w:val="left"/>
      <w:pPr>
        <w:ind w:left="7185" w:hanging="360"/>
      </w:pPr>
      <w:rPr>
        <w:rFonts w:ascii="Wingdings" w:hAnsi="Wingdings" w:hint="default"/>
      </w:rPr>
    </w:lvl>
  </w:abstractNum>
  <w:abstractNum w:abstractNumId="1">
    <w:nsid w:val="11FF2857"/>
    <w:multiLevelType w:val="hybridMultilevel"/>
    <w:tmpl w:val="1C1231D0"/>
    <w:lvl w:ilvl="0" w:tplc="796EE7E0">
      <w:start w:val="1"/>
      <w:numFmt w:val="decimal"/>
      <w:lvlText w:val="%1."/>
      <w:lvlJc w:val="left"/>
      <w:pPr>
        <w:ind w:left="1065" w:hanging="360"/>
      </w:pPr>
      <w:rPr>
        <w:rFonts w:hint="default"/>
      </w:rPr>
    </w:lvl>
    <w:lvl w:ilvl="1" w:tplc="040A0019" w:tentative="1">
      <w:start w:val="1"/>
      <w:numFmt w:val="lowerLetter"/>
      <w:lvlText w:val="%2."/>
      <w:lvlJc w:val="left"/>
      <w:pPr>
        <w:ind w:left="1785" w:hanging="360"/>
      </w:pPr>
    </w:lvl>
    <w:lvl w:ilvl="2" w:tplc="040A001B" w:tentative="1">
      <w:start w:val="1"/>
      <w:numFmt w:val="lowerRoman"/>
      <w:lvlText w:val="%3."/>
      <w:lvlJc w:val="right"/>
      <w:pPr>
        <w:ind w:left="2505" w:hanging="180"/>
      </w:pPr>
    </w:lvl>
    <w:lvl w:ilvl="3" w:tplc="040A000F" w:tentative="1">
      <w:start w:val="1"/>
      <w:numFmt w:val="decimal"/>
      <w:lvlText w:val="%4."/>
      <w:lvlJc w:val="left"/>
      <w:pPr>
        <w:ind w:left="3225" w:hanging="360"/>
      </w:pPr>
    </w:lvl>
    <w:lvl w:ilvl="4" w:tplc="040A0019" w:tentative="1">
      <w:start w:val="1"/>
      <w:numFmt w:val="lowerLetter"/>
      <w:lvlText w:val="%5."/>
      <w:lvlJc w:val="left"/>
      <w:pPr>
        <w:ind w:left="3945" w:hanging="360"/>
      </w:pPr>
    </w:lvl>
    <w:lvl w:ilvl="5" w:tplc="040A001B" w:tentative="1">
      <w:start w:val="1"/>
      <w:numFmt w:val="lowerRoman"/>
      <w:lvlText w:val="%6."/>
      <w:lvlJc w:val="right"/>
      <w:pPr>
        <w:ind w:left="4665" w:hanging="180"/>
      </w:pPr>
    </w:lvl>
    <w:lvl w:ilvl="6" w:tplc="040A000F" w:tentative="1">
      <w:start w:val="1"/>
      <w:numFmt w:val="decimal"/>
      <w:lvlText w:val="%7."/>
      <w:lvlJc w:val="left"/>
      <w:pPr>
        <w:ind w:left="5385" w:hanging="360"/>
      </w:pPr>
    </w:lvl>
    <w:lvl w:ilvl="7" w:tplc="040A0019" w:tentative="1">
      <w:start w:val="1"/>
      <w:numFmt w:val="lowerLetter"/>
      <w:lvlText w:val="%8."/>
      <w:lvlJc w:val="left"/>
      <w:pPr>
        <w:ind w:left="6105" w:hanging="360"/>
      </w:pPr>
    </w:lvl>
    <w:lvl w:ilvl="8" w:tplc="040A001B" w:tentative="1">
      <w:start w:val="1"/>
      <w:numFmt w:val="lowerRoman"/>
      <w:lvlText w:val="%9."/>
      <w:lvlJc w:val="right"/>
      <w:pPr>
        <w:ind w:left="6825" w:hanging="180"/>
      </w:pPr>
    </w:lvl>
  </w:abstractNum>
  <w:abstractNum w:abstractNumId="2">
    <w:nsid w:val="2A0119E8"/>
    <w:multiLevelType w:val="hybridMultilevel"/>
    <w:tmpl w:val="890C2890"/>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nsid w:val="3DB216DF"/>
    <w:multiLevelType w:val="hybridMultilevel"/>
    <w:tmpl w:val="E092E050"/>
    <w:lvl w:ilvl="0" w:tplc="663ECDD4">
      <w:start w:val="1"/>
      <w:numFmt w:val="decimal"/>
      <w:lvlText w:val="%1."/>
      <w:lvlJc w:val="left"/>
      <w:pPr>
        <w:ind w:left="1065" w:hanging="360"/>
      </w:pPr>
      <w:rPr>
        <w:rFonts w:hint="default"/>
      </w:rPr>
    </w:lvl>
    <w:lvl w:ilvl="1" w:tplc="040A0019">
      <w:start w:val="1"/>
      <w:numFmt w:val="lowerLetter"/>
      <w:lvlText w:val="%2."/>
      <w:lvlJc w:val="left"/>
      <w:pPr>
        <w:ind w:left="1785" w:hanging="360"/>
      </w:pPr>
    </w:lvl>
    <w:lvl w:ilvl="2" w:tplc="040A001B">
      <w:start w:val="1"/>
      <w:numFmt w:val="lowerRoman"/>
      <w:lvlText w:val="%3."/>
      <w:lvlJc w:val="right"/>
      <w:pPr>
        <w:ind w:left="2505" w:hanging="180"/>
      </w:pPr>
    </w:lvl>
    <w:lvl w:ilvl="3" w:tplc="040A000F" w:tentative="1">
      <w:start w:val="1"/>
      <w:numFmt w:val="decimal"/>
      <w:lvlText w:val="%4."/>
      <w:lvlJc w:val="left"/>
      <w:pPr>
        <w:ind w:left="3225" w:hanging="360"/>
      </w:pPr>
    </w:lvl>
    <w:lvl w:ilvl="4" w:tplc="040A0019" w:tentative="1">
      <w:start w:val="1"/>
      <w:numFmt w:val="lowerLetter"/>
      <w:lvlText w:val="%5."/>
      <w:lvlJc w:val="left"/>
      <w:pPr>
        <w:ind w:left="3945" w:hanging="360"/>
      </w:pPr>
    </w:lvl>
    <w:lvl w:ilvl="5" w:tplc="040A001B" w:tentative="1">
      <w:start w:val="1"/>
      <w:numFmt w:val="lowerRoman"/>
      <w:lvlText w:val="%6."/>
      <w:lvlJc w:val="right"/>
      <w:pPr>
        <w:ind w:left="4665" w:hanging="180"/>
      </w:pPr>
    </w:lvl>
    <w:lvl w:ilvl="6" w:tplc="040A000F" w:tentative="1">
      <w:start w:val="1"/>
      <w:numFmt w:val="decimal"/>
      <w:lvlText w:val="%7."/>
      <w:lvlJc w:val="left"/>
      <w:pPr>
        <w:ind w:left="5385" w:hanging="360"/>
      </w:pPr>
    </w:lvl>
    <w:lvl w:ilvl="7" w:tplc="040A0019" w:tentative="1">
      <w:start w:val="1"/>
      <w:numFmt w:val="lowerLetter"/>
      <w:lvlText w:val="%8."/>
      <w:lvlJc w:val="left"/>
      <w:pPr>
        <w:ind w:left="6105" w:hanging="360"/>
      </w:pPr>
    </w:lvl>
    <w:lvl w:ilvl="8" w:tplc="040A001B" w:tentative="1">
      <w:start w:val="1"/>
      <w:numFmt w:val="lowerRoman"/>
      <w:lvlText w:val="%9."/>
      <w:lvlJc w:val="right"/>
      <w:pPr>
        <w:ind w:left="6825" w:hanging="180"/>
      </w:pPr>
    </w:lvl>
  </w:abstractNum>
  <w:abstractNum w:abstractNumId="4">
    <w:nsid w:val="4EBB161B"/>
    <w:multiLevelType w:val="hybridMultilevel"/>
    <w:tmpl w:val="CA50F4B6"/>
    <w:lvl w:ilvl="0" w:tplc="0BD65484">
      <w:numFmt w:val="bullet"/>
      <w:lvlText w:val="-"/>
      <w:lvlJc w:val="left"/>
      <w:pPr>
        <w:ind w:left="1065" w:hanging="360"/>
      </w:pPr>
      <w:rPr>
        <w:rFonts w:ascii="Arial" w:eastAsiaTheme="minorHAnsi" w:hAnsi="Arial" w:cs="Arial" w:hint="default"/>
      </w:rPr>
    </w:lvl>
    <w:lvl w:ilvl="1" w:tplc="040A0003" w:tentative="1">
      <w:start w:val="1"/>
      <w:numFmt w:val="bullet"/>
      <w:lvlText w:val="o"/>
      <w:lvlJc w:val="left"/>
      <w:pPr>
        <w:ind w:left="1785" w:hanging="360"/>
      </w:pPr>
      <w:rPr>
        <w:rFonts w:ascii="Courier New" w:hAnsi="Courier New" w:cs="Courier New" w:hint="default"/>
      </w:rPr>
    </w:lvl>
    <w:lvl w:ilvl="2" w:tplc="040A0005" w:tentative="1">
      <w:start w:val="1"/>
      <w:numFmt w:val="bullet"/>
      <w:lvlText w:val=""/>
      <w:lvlJc w:val="left"/>
      <w:pPr>
        <w:ind w:left="2505" w:hanging="360"/>
      </w:pPr>
      <w:rPr>
        <w:rFonts w:ascii="Wingdings" w:hAnsi="Wingdings" w:hint="default"/>
      </w:rPr>
    </w:lvl>
    <w:lvl w:ilvl="3" w:tplc="040A0001" w:tentative="1">
      <w:start w:val="1"/>
      <w:numFmt w:val="bullet"/>
      <w:lvlText w:val=""/>
      <w:lvlJc w:val="left"/>
      <w:pPr>
        <w:ind w:left="3225" w:hanging="360"/>
      </w:pPr>
      <w:rPr>
        <w:rFonts w:ascii="Symbol" w:hAnsi="Symbol" w:hint="default"/>
      </w:rPr>
    </w:lvl>
    <w:lvl w:ilvl="4" w:tplc="040A0003" w:tentative="1">
      <w:start w:val="1"/>
      <w:numFmt w:val="bullet"/>
      <w:lvlText w:val="o"/>
      <w:lvlJc w:val="left"/>
      <w:pPr>
        <w:ind w:left="3945" w:hanging="360"/>
      </w:pPr>
      <w:rPr>
        <w:rFonts w:ascii="Courier New" w:hAnsi="Courier New" w:cs="Courier New" w:hint="default"/>
      </w:rPr>
    </w:lvl>
    <w:lvl w:ilvl="5" w:tplc="040A0005" w:tentative="1">
      <w:start w:val="1"/>
      <w:numFmt w:val="bullet"/>
      <w:lvlText w:val=""/>
      <w:lvlJc w:val="left"/>
      <w:pPr>
        <w:ind w:left="4665" w:hanging="360"/>
      </w:pPr>
      <w:rPr>
        <w:rFonts w:ascii="Wingdings" w:hAnsi="Wingdings" w:hint="default"/>
      </w:rPr>
    </w:lvl>
    <w:lvl w:ilvl="6" w:tplc="040A0001" w:tentative="1">
      <w:start w:val="1"/>
      <w:numFmt w:val="bullet"/>
      <w:lvlText w:val=""/>
      <w:lvlJc w:val="left"/>
      <w:pPr>
        <w:ind w:left="5385" w:hanging="360"/>
      </w:pPr>
      <w:rPr>
        <w:rFonts w:ascii="Symbol" w:hAnsi="Symbol" w:hint="default"/>
      </w:rPr>
    </w:lvl>
    <w:lvl w:ilvl="7" w:tplc="040A0003" w:tentative="1">
      <w:start w:val="1"/>
      <w:numFmt w:val="bullet"/>
      <w:lvlText w:val="o"/>
      <w:lvlJc w:val="left"/>
      <w:pPr>
        <w:ind w:left="6105" w:hanging="360"/>
      </w:pPr>
      <w:rPr>
        <w:rFonts w:ascii="Courier New" w:hAnsi="Courier New" w:cs="Courier New" w:hint="default"/>
      </w:rPr>
    </w:lvl>
    <w:lvl w:ilvl="8" w:tplc="040A0005" w:tentative="1">
      <w:start w:val="1"/>
      <w:numFmt w:val="bullet"/>
      <w:lvlText w:val=""/>
      <w:lvlJc w:val="left"/>
      <w:pPr>
        <w:ind w:left="6825" w:hanging="360"/>
      </w:pPr>
      <w:rPr>
        <w:rFonts w:ascii="Wingdings" w:hAnsi="Wingdings" w:hint="default"/>
      </w:rPr>
    </w:lvl>
  </w:abstractNum>
  <w:abstractNum w:abstractNumId="5">
    <w:nsid w:val="51A62151"/>
    <w:multiLevelType w:val="hybridMultilevel"/>
    <w:tmpl w:val="84D8CB8A"/>
    <w:lvl w:ilvl="0" w:tplc="7E96C9D4">
      <w:start w:val="1"/>
      <w:numFmt w:val="bullet"/>
      <w:lvlText w:val="-"/>
      <w:lvlJc w:val="left"/>
      <w:pPr>
        <w:ind w:left="2490" w:hanging="360"/>
      </w:pPr>
      <w:rPr>
        <w:rFonts w:ascii="Calibri" w:eastAsiaTheme="minorHAnsi" w:hAnsi="Calibri" w:cs="Calibri" w:hint="default"/>
      </w:rPr>
    </w:lvl>
    <w:lvl w:ilvl="1" w:tplc="040A0003">
      <w:start w:val="1"/>
      <w:numFmt w:val="bullet"/>
      <w:lvlText w:val="o"/>
      <w:lvlJc w:val="left"/>
      <w:pPr>
        <w:ind w:left="3210" w:hanging="360"/>
      </w:pPr>
      <w:rPr>
        <w:rFonts w:ascii="Courier New" w:hAnsi="Courier New" w:cs="Courier New" w:hint="default"/>
      </w:rPr>
    </w:lvl>
    <w:lvl w:ilvl="2" w:tplc="040A0005" w:tentative="1">
      <w:start w:val="1"/>
      <w:numFmt w:val="bullet"/>
      <w:lvlText w:val=""/>
      <w:lvlJc w:val="left"/>
      <w:pPr>
        <w:ind w:left="3930" w:hanging="360"/>
      </w:pPr>
      <w:rPr>
        <w:rFonts w:ascii="Wingdings" w:hAnsi="Wingdings" w:hint="default"/>
      </w:rPr>
    </w:lvl>
    <w:lvl w:ilvl="3" w:tplc="040A0001" w:tentative="1">
      <w:start w:val="1"/>
      <w:numFmt w:val="bullet"/>
      <w:lvlText w:val=""/>
      <w:lvlJc w:val="left"/>
      <w:pPr>
        <w:ind w:left="4650" w:hanging="360"/>
      </w:pPr>
      <w:rPr>
        <w:rFonts w:ascii="Symbol" w:hAnsi="Symbol" w:hint="default"/>
      </w:rPr>
    </w:lvl>
    <w:lvl w:ilvl="4" w:tplc="040A0003" w:tentative="1">
      <w:start w:val="1"/>
      <w:numFmt w:val="bullet"/>
      <w:lvlText w:val="o"/>
      <w:lvlJc w:val="left"/>
      <w:pPr>
        <w:ind w:left="5370" w:hanging="360"/>
      </w:pPr>
      <w:rPr>
        <w:rFonts w:ascii="Courier New" w:hAnsi="Courier New" w:cs="Courier New" w:hint="default"/>
      </w:rPr>
    </w:lvl>
    <w:lvl w:ilvl="5" w:tplc="040A0005" w:tentative="1">
      <w:start w:val="1"/>
      <w:numFmt w:val="bullet"/>
      <w:lvlText w:val=""/>
      <w:lvlJc w:val="left"/>
      <w:pPr>
        <w:ind w:left="6090" w:hanging="360"/>
      </w:pPr>
      <w:rPr>
        <w:rFonts w:ascii="Wingdings" w:hAnsi="Wingdings" w:hint="default"/>
      </w:rPr>
    </w:lvl>
    <w:lvl w:ilvl="6" w:tplc="040A0001" w:tentative="1">
      <w:start w:val="1"/>
      <w:numFmt w:val="bullet"/>
      <w:lvlText w:val=""/>
      <w:lvlJc w:val="left"/>
      <w:pPr>
        <w:ind w:left="6810" w:hanging="360"/>
      </w:pPr>
      <w:rPr>
        <w:rFonts w:ascii="Symbol" w:hAnsi="Symbol" w:hint="default"/>
      </w:rPr>
    </w:lvl>
    <w:lvl w:ilvl="7" w:tplc="040A0003" w:tentative="1">
      <w:start w:val="1"/>
      <w:numFmt w:val="bullet"/>
      <w:lvlText w:val="o"/>
      <w:lvlJc w:val="left"/>
      <w:pPr>
        <w:ind w:left="7530" w:hanging="360"/>
      </w:pPr>
      <w:rPr>
        <w:rFonts w:ascii="Courier New" w:hAnsi="Courier New" w:cs="Courier New" w:hint="default"/>
      </w:rPr>
    </w:lvl>
    <w:lvl w:ilvl="8" w:tplc="040A0005" w:tentative="1">
      <w:start w:val="1"/>
      <w:numFmt w:val="bullet"/>
      <w:lvlText w:val=""/>
      <w:lvlJc w:val="left"/>
      <w:pPr>
        <w:ind w:left="8250" w:hanging="360"/>
      </w:pPr>
      <w:rPr>
        <w:rFonts w:ascii="Wingdings" w:hAnsi="Wingdings" w:hint="default"/>
      </w:rPr>
    </w:lvl>
  </w:abstractNum>
  <w:num w:numId="1">
    <w:abstractNumId w:val="3"/>
  </w:num>
  <w:num w:numId="2">
    <w:abstractNumId w:val="5"/>
  </w:num>
  <w:num w:numId="3">
    <w:abstractNumId w:val="0"/>
  </w:num>
  <w:num w:numId="4">
    <w:abstractNumId w:val="2"/>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5075F3"/>
    <w:rsid w:val="0000118C"/>
    <w:rsid w:val="0005012B"/>
    <w:rsid w:val="00057DF8"/>
    <w:rsid w:val="00093390"/>
    <w:rsid w:val="000B38E9"/>
    <w:rsid w:val="000C45DF"/>
    <w:rsid w:val="000C4E29"/>
    <w:rsid w:val="000C6B5E"/>
    <w:rsid w:val="00113D50"/>
    <w:rsid w:val="0014611A"/>
    <w:rsid w:val="001B0B75"/>
    <w:rsid w:val="001F1018"/>
    <w:rsid w:val="00202399"/>
    <w:rsid w:val="00217BBD"/>
    <w:rsid w:val="0023611F"/>
    <w:rsid w:val="0026576E"/>
    <w:rsid w:val="002741F1"/>
    <w:rsid w:val="00276EC0"/>
    <w:rsid w:val="002E731C"/>
    <w:rsid w:val="003802B0"/>
    <w:rsid w:val="00391E55"/>
    <w:rsid w:val="003B4D56"/>
    <w:rsid w:val="003E365A"/>
    <w:rsid w:val="00403739"/>
    <w:rsid w:val="004B6969"/>
    <w:rsid w:val="0050228B"/>
    <w:rsid w:val="005075F3"/>
    <w:rsid w:val="00533940"/>
    <w:rsid w:val="00544FE6"/>
    <w:rsid w:val="005545B7"/>
    <w:rsid w:val="00561CD8"/>
    <w:rsid w:val="005F67AE"/>
    <w:rsid w:val="006156A8"/>
    <w:rsid w:val="00657174"/>
    <w:rsid w:val="006A1946"/>
    <w:rsid w:val="006C4919"/>
    <w:rsid w:val="00720DAD"/>
    <w:rsid w:val="0077727C"/>
    <w:rsid w:val="00782FD6"/>
    <w:rsid w:val="00830B71"/>
    <w:rsid w:val="00837F59"/>
    <w:rsid w:val="0084669A"/>
    <w:rsid w:val="0087721B"/>
    <w:rsid w:val="008B5DEE"/>
    <w:rsid w:val="00937752"/>
    <w:rsid w:val="00992873"/>
    <w:rsid w:val="009C1A0D"/>
    <w:rsid w:val="00A17B9B"/>
    <w:rsid w:val="00AA03EB"/>
    <w:rsid w:val="00B97DC4"/>
    <w:rsid w:val="00BA4139"/>
    <w:rsid w:val="00BC5566"/>
    <w:rsid w:val="00BF757C"/>
    <w:rsid w:val="00C21C32"/>
    <w:rsid w:val="00C9694C"/>
    <w:rsid w:val="00CC507B"/>
    <w:rsid w:val="00CF62EC"/>
    <w:rsid w:val="00DA7981"/>
    <w:rsid w:val="00E05ABC"/>
    <w:rsid w:val="00E10864"/>
    <w:rsid w:val="00E52AFF"/>
    <w:rsid w:val="00E80E9C"/>
    <w:rsid w:val="00EB7A0D"/>
    <w:rsid w:val="00ED2069"/>
    <w:rsid w:val="00F07989"/>
    <w:rsid w:val="00F1164F"/>
    <w:rsid w:val="00F15CFC"/>
    <w:rsid w:val="00F51BEA"/>
    <w:rsid w:val="00FD41AC"/>
    <w:rsid w:val="00FE1ECC"/>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2AFF"/>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075F3"/>
    <w:pPr>
      <w:ind w:left="720"/>
      <w:contextualSpacing/>
    </w:pPr>
  </w:style>
  <w:style w:type="character" w:styleId="nfasis">
    <w:name w:val="Emphasis"/>
    <w:basedOn w:val="Fuentedeprrafopredeter"/>
    <w:uiPriority w:val="20"/>
    <w:qFormat/>
    <w:rsid w:val="008B5DEE"/>
    <w:rPr>
      <w:i/>
      <w:iCs/>
    </w:rPr>
  </w:style>
  <w:style w:type="paragraph" w:styleId="NormalWeb">
    <w:name w:val="Normal (Web)"/>
    <w:basedOn w:val="Normal"/>
    <w:uiPriority w:val="99"/>
    <w:unhideWhenUsed/>
    <w:rsid w:val="00533940"/>
    <w:pPr>
      <w:spacing w:before="100" w:beforeAutospacing="1" w:after="100" w:afterAutospacing="1" w:line="240" w:lineRule="auto"/>
    </w:pPr>
    <w:rPr>
      <w:rFonts w:ascii="Times New Roman" w:eastAsia="Times New Roman" w:hAnsi="Times New Roman" w:cs="Times New Roman"/>
      <w:sz w:val="24"/>
      <w:szCs w:val="24"/>
      <w:lang w:eastAsia="es-ES_tradnl"/>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noticias.juridicas.com/base_datos/Admin/l7-1985.t8.html"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1234</Words>
  <Characters>6789</Characters>
  <Application>Microsoft Office Word</Application>
  <DocSecurity>0</DocSecurity>
  <Lines>56</Lines>
  <Paragraphs>16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jgabeiras</dc:creator>
  <cp:lastModifiedBy>eperez</cp:lastModifiedBy>
  <cp:revision>4</cp:revision>
  <cp:lastPrinted>2018-11-14T10:44:00Z</cp:lastPrinted>
  <dcterms:created xsi:type="dcterms:W3CDTF">2018-11-13T06:58:00Z</dcterms:created>
  <dcterms:modified xsi:type="dcterms:W3CDTF">2018-11-14T10:44:00Z</dcterms:modified>
</cp:coreProperties>
</file>